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C781" w14:textId="50CB282C" w:rsidR="00F77C3E" w:rsidRDefault="00D17AD4" w:rsidP="00D17AD4">
      <w:pPr>
        <w:ind w:firstLine="0"/>
        <w:jc w:val="center"/>
        <w:rPr>
          <w:rFonts w:ascii="Arial" w:hAnsi="Arial" w:cs="Arial"/>
          <w:b/>
          <w:bCs/>
          <w:sz w:val="24"/>
          <w:szCs w:val="24"/>
        </w:rPr>
      </w:pPr>
      <w:proofErr w:type="spellStart"/>
      <w:r w:rsidRPr="00D17AD4">
        <w:rPr>
          <w:rFonts w:ascii="Arial" w:hAnsi="Arial" w:cs="Arial"/>
          <w:b/>
          <w:bCs/>
          <w:sz w:val="24"/>
          <w:szCs w:val="24"/>
        </w:rPr>
        <w:t>Bullying</w:t>
      </w:r>
      <w:proofErr w:type="spellEnd"/>
      <w:r w:rsidRPr="00D17AD4">
        <w:rPr>
          <w:rFonts w:ascii="Arial" w:hAnsi="Arial" w:cs="Arial"/>
          <w:b/>
          <w:bCs/>
          <w:sz w:val="24"/>
          <w:szCs w:val="24"/>
        </w:rPr>
        <w:t xml:space="preserve"> escolar y mecanismos de afronte en adolescentes entre 9 y 13 años de un colegio nacional de Lima Este</w:t>
      </w:r>
    </w:p>
    <w:p w14:paraId="6ABC82F5" w14:textId="77777777" w:rsidR="00443074" w:rsidRDefault="00443074" w:rsidP="00443074">
      <w:pPr>
        <w:spacing w:line="480" w:lineRule="auto"/>
        <w:ind w:firstLine="0"/>
        <w:jc w:val="center"/>
        <w:rPr>
          <w:rFonts w:ascii="Arial" w:hAnsi="Arial" w:cs="Arial"/>
          <w:b/>
          <w:bCs/>
          <w:sz w:val="24"/>
          <w:szCs w:val="24"/>
        </w:rPr>
      </w:pPr>
    </w:p>
    <w:p w14:paraId="51004154" w14:textId="24D1777A" w:rsidR="00443074" w:rsidRPr="000D557C" w:rsidRDefault="00443074" w:rsidP="00443074">
      <w:pPr>
        <w:spacing w:line="480" w:lineRule="auto"/>
        <w:ind w:firstLine="0"/>
        <w:jc w:val="center"/>
        <w:rPr>
          <w:rFonts w:ascii="Arial" w:hAnsi="Arial" w:cs="Arial"/>
          <w:b/>
          <w:bCs/>
          <w:sz w:val="24"/>
          <w:szCs w:val="24"/>
          <w:lang w:val="en-US"/>
        </w:rPr>
      </w:pPr>
      <w:r w:rsidRPr="000D557C">
        <w:rPr>
          <w:rFonts w:ascii="Arial" w:hAnsi="Arial" w:cs="Arial"/>
          <w:b/>
          <w:bCs/>
          <w:sz w:val="24"/>
          <w:szCs w:val="24"/>
          <w:lang w:val="en-US"/>
        </w:rPr>
        <w:t>Abstract</w:t>
      </w:r>
    </w:p>
    <w:p w14:paraId="503ED60B" w14:textId="2F42B25F" w:rsidR="00126B61" w:rsidRPr="00126B61" w:rsidRDefault="00126B61" w:rsidP="00126B61">
      <w:pPr>
        <w:spacing w:line="480" w:lineRule="auto"/>
        <w:ind w:firstLine="0"/>
        <w:jc w:val="both"/>
        <w:rPr>
          <w:rFonts w:ascii="Arial" w:hAnsi="Arial" w:cs="Arial"/>
          <w:sz w:val="24"/>
          <w:szCs w:val="24"/>
          <w:lang w:val="en-US"/>
        </w:rPr>
      </w:pPr>
      <w:r w:rsidRPr="00126B61">
        <w:rPr>
          <w:rFonts w:ascii="Arial" w:hAnsi="Arial" w:cs="Arial"/>
          <w:b/>
          <w:bCs/>
          <w:sz w:val="24"/>
          <w:szCs w:val="24"/>
          <w:lang w:val="en-US"/>
        </w:rPr>
        <w:t xml:space="preserve">Objective: </w:t>
      </w:r>
      <w:r w:rsidR="003617B6">
        <w:rPr>
          <w:rFonts w:ascii="Arial" w:hAnsi="Arial" w:cs="Arial"/>
          <w:sz w:val="24"/>
          <w:szCs w:val="24"/>
          <w:lang w:val="en-US"/>
        </w:rPr>
        <w:t xml:space="preserve">Identify </w:t>
      </w:r>
      <w:r w:rsidRPr="00126B61">
        <w:rPr>
          <w:rFonts w:ascii="Arial" w:hAnsi="Arial" w:cs="Arial"/>
          <w:sz w:val="24"/>
          <w:szCs w:val="24"/>
          <w:lang w:val="en-US"/>
        </w:rPr>
        <w:t xml:space="preserve">whether problem-focused coping and unproductive coping are predictors of physical and psychological bullying in high school students in East Lima. </w:t>
      </w:r>
      <w:r w:rsidRPr="003617B6">
        <w:rPr>
          <w:rFonts w:ascii="Arial" w:hAnsi="Arial" w:cs="Arial"/>
          <w:b/>
          <w:bCs/>
          <w:sz w:val="24"/>
          <w:szCs w:val="24"/>
          <w:lang w:val="en-US"/>
        </w:rPr>
        <w:t>Sample:</w:t>
      </w:r>
      <w:r w:rsidRPr="00126B61">
        <w:rPr>
          <w:rFonts w:ascii="Arial" w:hAnsi="Arial" w:cs="Arial"/>
          <w:sz w:val="24"/>
          <w:szCs w:val="24"/>
          <w:lang w:val="en-US"/>
        </w:rPr>
        <w:t xml:space="preserve"> The sample consisted of 304 high school students from national schools in East Lima, with an equal gender distribution and mean age of 12.46 years. </w:t>
      </w:r>
      <w:r w:rsidRPr="00095F4A">
        <w:rPr>
          <w:rFonts w:ascii="Arial" w:hAnsi="Arial" w:cs="Arial"/>
          <w:b/>
          <w:bCs/>
          <w:sz w:val="24"/>
          <w:szCs w:val="24"/>
          <w:lang w:val="en-US"/>
        </w:rPr>
        <w:t>Instruments:</w:t>
      </w:r>
      <w:r w:rsidRPr="00126B61">
        <w:rPr>
          <w:rFonts w:ascii="Arial" w:hAnsi="Arial" w:cs="Arial"/>
          <w:sz w:val="24"/>
          <w:szCs w:val="24"/>
          <w:lang w:val="en-US"/>
        </w:rPr>
        <w:t xml:space="preserve"> The Brief Pictorial Scale of School Bullying for Victims (EPAE-V) and the Coping in Children Scale (EAN) were used. </w:t>
      </w:r>
      <w:r w:rsidRPr="006B6722">
        <w:rPr>
          <w:rFonts w:ascii="Arial" w:hAnsi="Arial" w:cs="Arial"/>
          <w:b/>
          <w:bCs/>
          <w:sz w:val="24"/>
          <w:szCs w:val="24"/>
          <w:lang w:val="en-US"/>
        </w:rPr>
        <w:t>Results:</w:t>
      </w:r>
      <w:r w:rsidRPr="00126B61">
        <w:rPr>
          <w:rFonts w:ascii="Arial" w:hAnsi="Arial" w:cs="Arial"/>
          <w:sz w:val="24"/>
          <w:szCs w:val="24"/>
          <w:lang w:val="en-US"/>
        </w:rPr>
        <w:t xml:space="preserve"> Problem-focused coping was not found to be a significant predictor of physical bullying (</w:t>
      </w:r>
      <w:r w:rsidRPr="00126B61">
        <w:rPr>
          <w:rFonts w:ascii="Arial" w:hAnsi="Arial" w:cs="Arial"/>
          <w:sz w:val="24"/>
          <w:szCs w:val="24"/>
        </w:rPr>
        <w:t>β</w:t>
      </w:r>
      <w:r w:rsidRPr="00126B61">
        <w:rPr>
          <w:rFonts w:ascii="Arial" w:hAnsi="Arial" w:cs="Arial"/>
          <w:sz w:val="24"/>
          <w:szCs w:val="24"/>
          <w:lang w:val="en-US"/>
        </w:rPr>
        <w:t xml:space="preserve"> = -0.003, p = 0.815) or psychological bullying (</w:t>
      </w:r>
      <w:r w:rsidRPr="00126B61">
        <w:rPr>
          <w:rFonts w:ascii="Arial" w:hAnsi="Arial" w:cs="Arial"/>
          <w:sz w:val="24"/>
          <w:szCs w:val="24"/>
        </w:rPr>
        <w:t>β</w:t>
      </w:r>
      <w:r w:rsidRPr="00126B61">
        <w:rPr>
          <w:rFonts w:ascii="Arial" w:hAnsi="Arial" w:cs="Arial"/>
          <w:sz w:val="24"/>
          <w:szCs w:val="24"/>
          <w:lang w:val="en-US"/>
        </w:rPr>
        <w:t xml:space="preserve"> = -0.034, p = 0.053). However, unproductive coping was identified as a significant predictor of both physical bullying (</w:t>
      </w:r>
      <w:r w:rsidRPr="00126B61">
        <w:rPr>
          <w:rFonts w:ascii="Arial" w:hAnsi="Arial" w:cs="Arial"/>
          <w:sz w:val="24"/>
          <w:szCs w:val="24"/>
        </w:rPr>
        <w:t>β</w:t>
      </w:r>
      <w:r w:rsidRPr="00126B61">
        <w:rPr>
          <w:rFonts w:ascii="Arial" w:hAnsi="Arial" w:cs="Arial"/>
          <w:sz w:val="24"/>
          <w:szCs w:val="24"/>
          <w:lang w:val="en-US"/>
        </w:rPr>
        <w:t xml:space="preserve"> = 0.047, p &lt; 0.001) and psychological bullying (</w:t>
      </w:r>
      <w:r w:rsidRPr="00126B61">
        <w:rPr>
          <w:rFonts w:ascii="Arial" w:hAnsi="Arial" w:cs="Arial"/>
          <w:sz w:val="24"/>
          <w:szCs w:val="24"/>
        </w:rPr>
        <w:t>β</w:t>
      </w:r>
      <w:r w:rsidRPr="00126B61">
        <w:rPr>
          <w:rFonts w:ascii="Arial" w:hAnsi="Arial" w:cs="Arial"/>
          <w:sz w:val="24"/>
          <w:szCs w:val="24"/>
          <w:lang w:val="en-US"/>
        </w:rPr>
        <w:t xml:space="preserve"> = 0.064, p &lt; 0.001). </w:t>
      </w:r>
      <w:r w:rsidRPr="0015753B">
        <w:rPr>
          <w:rFonts w:ascii="Arial" w:hAnsi="Arial" w:cs="Arial"/>
          <w:b/>
          <w:bCs/>
          <w:sz w:val="24"/>
          <w:szCs w:val="24"/>
          <w:lang w:val="en-US"/>
        </w:rPr>
        <w:t>Conclusions:</w:t>
      </w:r>
      <w:r w:rsidRPr="00126B61">
        <w:rPr>
          <w:rFonts w:ascii="Arial" w:hAnsi="Arial" w:cs="Arial"/>
          <w:sz w:val="24"/>
          <w:szCs w:val="24"/>
          <w:lang w:val="en-US"/>
        </w:rPr>
        <w:t xml:space="preserve"> It is concluded that while problem-focused coping does not significantly influence bullying reduction, unproductive coping significantly increases vulnerability to bullying. These findings underscore the need to foster more effective coping strategies among students to mitigate bullying in school settings.</w:t>
      </w:r>
    </w:p>
    <w:p w14:paraId="58BE0886" w14:textId="57FF4A31" w:rsidR="00443074" w:rsidRPr="000D557C" w:rsidRDefault="00443074" w:rsidP="00126B61">
      <w:pPr>
        <w:spacing w:line="480" w:lineRule="auto"/>
        <w:ind w:firstLine="0"/>
        <w:jc w:val="both"/>
        <w:rPr>
          <w:rFonts w:ascii="Arial" w:hAnsi="Arial" w:cs="Arial"/>
          <w:b/>
          <w:bCs/>
          <w:sz w:val="24"/>
          <w:szCs w:val="24"/>
          <w:lang w:val="en-US"/>
        </w:rPr>
      </w:pPr>
      <w:r w:rsidRPr="000D557C">
        <w:rPr>
          <w:rFonts w:ascii="Arial" w:hAnsi="Arial" w:cs="Arial"/>
          <w:b/>
          <w:bCs/>
          <w:sz w:val="24"/>
          <w:szCs w:val="24"/>
          <w:lang w:val="en-US"/>
        </w:rPr>
        <w:t>Keywords</w:t>
      </w:r>
      <w:r w:rsidR="001D0EA4" w:rsidRPr="000D557C">
        <w:rPr>
          <w:rFonts w:ascii="Arial" w:hAnsi="Arial" w:cs="Arial"/>
          <w:b/>
          <w:bCs/>
          <w:sz w:val="24"/>
          <w:szCs w:val="24"/>
          <w:lang w:val="en-US"/>
        </w:rPr>
        <w:t>:</w:t>
      </w:r>
    </w:p>
    <w:p w14:paraId="39CB559E" w14:textId="133CECBB" w:rsidR="001D0EA4" w:rsidRPr="00321C3C" w:rsidRDefault="00321C3C" w:rsidP="00126B61">
      <w:pPr>
        <w:spacing w:line="480" w:lineRule="auto"/>
        <w:ind w:firstLine="0"/>
        <w:jc w:val="both"/>
        <w:rPr>
          <w:rFonts w:ascii="Arial" w:hAnsi="Arial" w:cs="Arial"/>
          <w:sz w:val="24"/>
          <w:szCs w:val="24"/>
          <w:lang w:val="en-US"/>
        </w:rPr>
      </w:pPr>
      <w:r w:rsidRPr="00321C3C">
        <w:rPr>
          <w:rFonts w:ascii="Arial" w:hAnsi="Arial" w:cs="Arial"/>
          <w:sz w:val="24"/>
          <w:szCs w:val="24"/>
          <w:lang w:val="en-US"/>
        </w:rPr>
        <w:t>Bullying, coping, coping mechanisms, high school students, problem-focused coping, adolescents, East</w:t>
      </w:r>
      <w:r w:rsidR="00F92AE6">
        <w:rPr>
          <w:rFonts w:ascii="Arial" w:hAnsi="Arial" w:cs="Arial"/>
          <w:sz w:val="24"/>
          <w:szCs w:val="24"/>
          <w:lang w:val="en-US"/>
        </w:rPr>
        <w:t xml:space="preserve"> </w:t>
      </w:r>
      <w:r w:rsidR="00F92AE6" w:rsidRPr="00321C3C">
        <w:rPr>
          <w:rFonts w:ascii="Arial" w:hAnsi="Arial" w:cs="Arial"/>
          <w:sz w:val="24"/>
          <w:szCs w:val="24"/>
          <w:lang w:val="en-US"/>
        </w:rPr>
        <w:t>Lima</w:t>
      </w:r>
    </w:p>
    <w:p w14:paraId="38C5227D" w14:textId="7DC8D4DF" w:rsidR="00443074" w:rsidRPr="00321C3C" w:rsidRDefault="00443074">
      <w:pPr>
        <w:spacing w:after="160" w:line="259" w:lineRule="auto"/>
        <w:ind w:firstLine="0"/>
        <w:rPr>
          <w:rFonts w:ascii="Arial" w:hAnsi="Arial" w:cs="Arial"/>
          <w:b/>
          <w:bCs/>
          <w:sz w:val="24"/>
          <w:szCs w:val="24"/>
          <w:lang w:val="en-US"/>
        </w:rPr>
      </w:pPr>
      <w:r w:rsidRPr="00321C3C">
        <w:rPr>
          <w:rFonts w:ascii="Arial" w:hAnsi="Arial" w:cs="Arial"/>
          <w:b/>
          <w:bCs/>
          <w:sz w:val="24"/>
          <w:szCs w:val="24"/>
          <w:lang w:val="en-US"/>
        </w:rPr>
        <w:br w:type="page"/>
      </w:r>
    </w:p>
    <w:p w14:paraId="6EDB6037" w14:textId="0DB952BE" w:rsidR="00443074" w:rsidRDefault="00443074" w:rsidP="00443074">
      <w:pPr>
        <w:spacing w:line="480" w:lineRule="auto"/>
        <w:ind w:firstLine="0"/>
        <w:jc w:val="center"/>
        <w:rPr>
          <w:rFonts w:ascii="Arial" w:hAnsi="Arial" w:cs="Arial"/>
          <w:b/>
          <w:bCs/>
          <w:sz w:val="24"/>
          <w:szCs w:val="24"/>
        </w:rPr>
      </w:pPr>
      <w:r>
        <w:rPr>
          <w:rFonts w:ascii="Arial" w:hAnsi="Arial" w:cs="Arial"/>
          <w:b/>
          <w:bCs/>
          <w:sz w:val="24"/>
          <w:szCs w:val="24"/>
        </w:rPr>
        <w:lastRenderedPageBreak/>
        <w:t>Resumen</w:t>
      </w:r>
    </w:p>
    <w:p w14:paraId="710713D7" w14:textId="731E698D" w:rsidR="00443074" w:rsidRPr="00475123" w:rsidRDefault="00475123" w:rsidP="00830360">
      <w:pPr>
        <w:spacing w:line="480" w:lineRule="auto"/>
        <w:ind w:firstLine="0"/>
        <w:jc w:val="both"/>
        <w:rPr>
          <w:rFonts w:ascii="Arial" w:hAnsi="Arial" w:cs="Arial"/>
          <w:sz w:val="24"/>
          <w:szCs w:val="24"/>
        </w:rPr>
      </w:pPr>
      <w:r w:rsidRPr="00475123">
        <w:rPr>
          <w:rFonts w:ascii="Arial" w:hAnsi="Arial" w:cs="Arial"/>
          <w:b/>
          <w:bCs/>
          <w:sz w:val="24"/>
          <w:szCs w:val="24"/>
        </w:rPr>
        <w:t>Objetivo:</w:t>
      </w:r>
      <w:r w:rsidRPr="00475123">
        <w:rPr>
          <w:rFonts w:ascii="Arial" w:hAnsi="Arial" w:cs="Arial"/>
          <w:sz w:val="24"/>
          <w:szCs w:val="24"/>
        </w:rPr>
        <w:t xml:space="preserve"> Identificar si el afrontamiento centrado en el problema y el afrontamiento improductivo son predictores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físico y psicológico en estudiantes de secundaria en Lima Este. </w:t>
      </w:r>
      <w:r w:rsidR="001C57A2">
        <w:rPr>
          <w:rFonts w:ascii="Arial" w:hAnsi="Arial" w:cs="Arial"/>
          <w:b/>
          <w:bCs/>
          <w:sz w:val="24"/>
          <w:szCs w:val="24"/>
        </w:rPr>
        <w:t>Muestra</w:t>
      </w:r>
      <w:r w:rsidRPr="00475123">
        <w:rPr>
          <w:rFonts w:ascii="Arial" w:hAnsi="Arial" w:cs="Arial"/>
          <w:b/>
          <w:bCs/>
          <w:sz w:val="24"/>
          <w:szCs w:val="24"/>
        </w:rPr>
        <w:t>:</w:t>
      </w:r>
      <w:r w:rsidRPr="00475123">
        <w:rPr>
          <w:rFonts w:ascii="Arial" w:hAnsi="Arial" w:cs="Arial"/>
          <w:sz w:val="24"/>
          <w:szCs w:val="24"/>
        </w:rPr>
        <w:t xml:space="preserve"> La muestra consistió en 304 estudiantes de secundaria de colegios nacionales en Lima Este, con una distribución equitativa de género y edad promedio de 12.46 años. </w:t>
      </w:r>
      <w:r w:rsidR="001C57A2">
        <w:rPr>
          <w:rFonts w:ascii="Arial" w:hAnsi="Arial" w:cs="Arial"/>
          <w:b/>
          <w:bCs/>
          <w:sz w:val="24"/>
          <w:szCs w:val="24"/>
        </w:rPr>
        <w:t xml:space="preserve">Instrumentos: </w:t>
      </w:r>
      <w:r w:rsidRPr="00475123">
        <w:rPr>
          <w:rFonts w:ascii="Arial" w:hAnsi="Arial" w:cs="Arial"/>
          <w:sz w:val="24"/>
          <w:szCs w:val="24"/>
        </w:rPr>
        <w:t xml:space="preserve">Se utilizaron la Escala Pictórica Breve de Acoso Escolar para Víctimas (EPAE-V) y la Escala de Afrontamiento en Niños (EAN). </w:t>
      </w:r>
      <w:r w:rsidRPr="005D19D9">
        <w:rPr>
          <w:rFonts w:ascii="Arial" w:hAnsi="Arial" w:cs="Arial"/>
          <w:b/>
          <w:bCs/>
          <w:sz w:val="24"/>
          <w:szCs w:val="24"/>
        </w:rPr>
        <w:t>Resultados:</w:t>
      </w:r>
      <w:r w:rsidRPr="00475123">
        <w:rPr>
          <w:rFonts w:ascii="Arial" w:hAnsi="Arial" w:cs="Arial"/>
          <w:sz w:val="24"/>
          <w:szCs w:val="24"/>
        </w:rPr>
        <w:t xml:space="preserve"> El afrontamiento centrado en el problema no se encontró como un predictor significativo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físico (β = -0.003, p = 0.815) ni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psicológico (β = -0.034, p = 0.053). Sin embargo, el afrontamiento improductivo se identificó como un predictor significativo tanto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físico (β = 0.047, p &lt; 0.001) como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psicológico (β = 0.064, p &lt; 0.001). </w:t>
      </w:r>
      <w:r w:rsidRPr="005A672B">
        <w:rPr>
          <w:rFonts w:ascii="Arial" w:hAnsi="Arial" w:cs="Arial"/>
          <w:b/>
          <w:bCs/>
          <w:sz w:val="24"/>
          <w:szCs w:val="24"/>
        </w:rPr>
        <w:t>Conclusiones:</w:t>
      </w:r>
      <w:r w:rsidRPr="00475123">
        <w:rPr>
          <w:rFonts w:ascii="Arial" w:hAnsi="Arial" w:cs="Arial"/>
          <w:sz w:val="24"/>
          <w:szCs w:val="24"/>
        </w:rPr>
        <w:t xml:space="preserve"> Se concluye que mientras el afrontamiento centrado en el problema no influye significativamente en la reducción del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el afrontamiento improductivo incrementa significativamente la vulnerabilidad al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Estos hallazgos subrayan la necesidad de fomentar estrategias de afrontamiento más efectivas entre los estudiantes para mitigar el </w:t>
      </w:r>
      <w:proofErr w:type="spellStart"/>
      <w:r w:rsidRPr="00475123">
        <w:rPr>
          <w:rFonts w:ascii="Arial" w:hAnsi="Arial" w:cs="Arial"/>
          <w:sz w:val="24"/>
          <w:szCs w:val="24"/>
        </w:rPr>
        <w:t>bullying</w:t>
      </w:r>
      <w:proofErr w:type="spellEnd"/>
      <w:r w:rsidRPr="00475123">
        <w:rPr>
          <w:rFonts w:ascii="Arial" w:hAnsi="Arial" w:cs="Arial"/>
          <w:sz w:val="24"/>
          <w:szCs w:val="24"/>
        </w:rPr>
        <w:t xml:space="preserve"> en entornos escolares.</w:t>
      </w:r>
    </w:p>
    <w:p w14:paraId="1C9B6972" w14:textId="46CD26B1" w:rsidR="00443074" w:rsidRDefault="00443074" w:rsidP="00830360">
      <w:pPr>
        <w:spacing w:line="480" w:lineRule="auto"/>
        <w:ind w:firstLine="0"/>
        <w:jc w:val="both"/>
        <w:rPr>
          <w:rFonts w:ascii="Arial" w:hAnsi="Arial" w:cs="Arial"/>
          <w:b/>
          <w:bCs/>
          <w:sz w:val="24"/>
          <w:szCs w:val="24"/>
        </w:rPr>
      </w:pPr>
      <w:r>
        <w:rPr>
          <w:rFonts w:ascii="Arial" w:hAnsi="Arial" w:cs="Arial"/>
          <w:b/>
          <w:bCs/>
          <w:sz w:val="24"/>
          <w:szCs w:val="24"/>
        </w:rPr>
        <w:t>Palabras clave:</w:t>
      </w:r>
    </w:p>
    <w:p w14:paraId="35068BA7" w14:textId="71E32FBE" w:rsidR="00426506" w:rsidRPr="00FE48B0" w:rsidRDefault="00496E3D" w:rsidP="00FE48B0">
      <w:pPr>
        <w:spacing w:after="160" w:line="480" w:lineRule="auto"/>
        <w:ind w:firstLine="0"/>
        <w:jc w:val="both"/>
        <w:rPr>
          <w:rFonts w:ascii="Arial" w:hAnsi="Arial" w:cs="Arial"/>
          <w:sz w:val="24"/>
          <w:szCs w:val="24"/>
        </w:rPr>
      </w:pPr>
      <w:proofErr w:type="spellStart"/>
      <w:r w:rsidRPr="00496E3D">
        <w:rPr>
          <w:rFonts w:ascii="Arial" w:hAnsi="Arial" w:cs="Arial"/>
          <w:sz w:val="24"/>
          <w:szCs w:val="24"/>
        </w:rPr>
        <w:t>Bullying</w:t>
      </w:r>
      <w:proofErr w:type="spellEnd"/>
      <w:r w:rsidRPr="00496E3D">
        <w:rPr>
          <w:rFonts w:ascii="Arial" w:hAnsi="Arial" w:cs="Arial"/>
          <w:sz w:val="24"/>
          <w:szCs w:val="24"/>
        </w:rPr>
        <w:t xml:space="preserve">, afrontamiento, acoso escolar, </w:t>
      </w:r>
      <w:r w:rsidR="0022279F">
        <w:rPr>
          <w:rFonts w:ascii="Arial" w:hAnsi="Arial" w:cs="Arial"/>
          <w:sz w:val="24"/>
          <w:szCs w:val="24"/>
        </w:rPr>
        <w:t>mecanismos de afronte</w:t>
      </w:r>
      <w:r w:rsidRPr="00496E3D">
        <w:rPr>
          <w:rFonts w:ascii="Arial" w:hAnsi="Arial" w:cs="Arial"/>
          <w:sz w:val="24"/>
          <w:szCs w:val="24"/>
        </w:rPr>
        <w:t>, estudiantes de secundaria</w:t>
      </w:r>
      <w:r w:rsidR="00426506">
        <w:rPr>
          <w:rFonts w:ascii="Arial" w:hAnsi="Arial" w:cs="Arial"/>
          <w:sz w:val="24"/>
          <w:szCs w:val="24"/>
        </w:rPr>
        <w:t>, afrontamiento centrado en el problema, adolescentes</w:t>
      </w:r>
      <w:r w:rsidR="00E00DC0">
        <w:rPr>
          <w:rFonts w:ascii="Arial" w:hAnsi="Arial" w:cs="Arial"/>
          <w:sz w:val="24"/>
          <w:szCs w:val="24"/>
        </w:rPr>
        <w:t>, Lima Este</w:t>
      </w:r>
    </w:p>
    <w:sectPr w:rsidR="00426506" w:rsidRPr="00FE48B0" w:rsidSect="00015B9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B2"/>
    <w:rsid w:val="00015B9F"/>
    <w:rsid w:val="00027F44"/>
    <w:rsid w:val="00095653"/>
    <w:rsid w:val="00095F4A"/>
    <w:rsid w:val="000A5567"/>
    <w:rsid w:val="000C66F5"/>
    <w:rsid w:val="000D557C"/>
    <w:rsid w:val="000E44A6"/>
    <w:rsid w:val="00126B61"/>
    <w:rsid w:val="00144AF0"/>
    <w:rsid w:val="0015753B"/>
    <w:rsid w:val="0018389D"/>
    <w:rsid w:val="001C2BBE"/>
    <w:rsid w:val="001C57A2"/>
    <w:rsid w:val="001D0EA4"/>
    <w:rsid w:val="00214DFA"/>
    <w:rsid w:val="0022279F"/>
    <w:rsid w:val="002705C8"/>
    <w:rsid w:val="00287BF0"/>
    <w:rsid w:val="002A097F"/>
    <w:rsid w:val="003040FB"/>
    <w:rsid w:val="00321C3C"/>
    <w:rsid w:val="00344298"/>
    <w:rsid w:val="00355359"/>
    <w:rsid w:val="003617B6"/>
    <w:rsid w:val="003656E1"/>
    <w:rsid w:val="003A784D"/>
    <w:rsid w:val="003F594E"/>
    <w:rsid w:val="00405ED8"/>
    <w:rsid w:val="004259B2"/>
    <w:rsid w:val="00426506"/>
    <w:rsid w:val="00436E68"/>
    <w:rsid w:val="00443074"/>
    <w:rsid w:val="004701D2"/>
    <w:rsid w:val="00475123"/>
    <w:rsid w:val="00496E3D"/>
    <w:rsid w:val="004D4CC1"/>
    <w:rsid w:val="004D5F36"/>
    <w:rsid w:val="004D66C0"/>
    <w:rsid w:val="004E3EA6"/>
    <w:rsid w:val="00500C83"/>
    <w:rsid w:val="00516C1F"/>
    <w:rsid w:val="005A672B"/>
    <w:rsid w:val="005B3BE3"/>
    <w:rsid w:val="005D19D9"/>
    <w:rsid w:val="005F7305"/>
    <w:rsid w:val="00642A29"/>
    <w:rsid w:val="00654846"/>
    <w:rsid w:val="00666DA5"/>
    <w:rsid w:val="00670F11"/>
    <w:rsid w:val="006735A3"/>
    <w:rsid w:val="00695223"/>
    <w:rsid w:val="006A085C"/>
    <w:rsid w:val="006A1B98"/>
    <w:rsid w:val="006B146D"/>
    <w:rsid w:val="006B1DB7"/>
    <w:rsid w:val="006B6722"/>
    <w:rsid w:val="006C275B"/>
    <w:rsid w:val="00703566"/>
    <w:rsid w:val="0072248A"/>
    <w:rsid w:val="00737395"/>
    <w:rsid w:val="00773A21"/>
    <w:rsid w:val="00781549"/>
    <w:rsid w:val="007A5588"/>
    <w:rsid w:val="007B35A8"/>
    <w:rsid w:val="007D6AD3"/>
    <w:rsid w:val="00830360"/>
    <w:rsid w:val="00857A8E"/>
    <w:rsid w:val="008737C8"/>
    <w:rsid w:val="008E5271"/>
    <w:rsid w:val="00995957"/>
    <w:rsid w:val="00A25F8E"/>
    <w:rsid w:val="00A4549E"/>
    <w:rsid w:val="00A81F3B"/>
    <w:rsid w:val="00A866C3"/>
    <w:rsid w:val="00AB7689"/>
    <w:rsid w:val="00B124BD"/>
    <w:rsid w:val="00B1737E"/>
    <w:rsid w:val="00B8734D"/>
    <w:rsid w:val="00C877FB"/>
    <w:rsid w:val="00CF2315"/>
    <w:rsid w:val="00D15AD6"/>
    <w:rsid w:val="00D17AD4"/>
    <w:rsid w:val="00D30832"/>
    <w:rsid w:val="00D66D1B"/>
    <w:rsid w:val="00DC0803"/>
    <w:rsid w:val="00E00DC0"/>
    <w:rsid w:val="00E26D80"/>
    <w:rsid w:val="00E36ED9"/>
    <w:rsid w:val="00E6563F"/>
    <w:rsid w:val="00E665F7"/>
    <w:rsid w:val="00E82B54"/>
    <w:rsid w:val="00EB221A"/>
    <w:rsid w:val="00EB7FB0"/>
    <w:rsid w:val="00EF048E"/>
    <w:rsid w:val="00F127A3"/>
    <w:rsid w:val="00F61999"/>
    <w:rsid w:val="00F77C3E"/>
    <w:rsid w:val="00F92AE6"/>
    <w:rsid w:val="00FE2F0C"/>
    <w:rsid w:val="00FE4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BD94"/>
  <w15:chartTrackingRefBased/>
  <w15:docId w15:val="{CD3BC0F6-578F-4342-BEB5-CE07EB19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95"/>
    <w:pPr>
      <w:spacing w:after="0" w:line="276" w:lineRule="auto"/>
      <w:ind w:firstLine="720"/>
    </w:pPr>
    <w:rPr>
      <w:rFonts w:asciiTheme="minorHAnsi" w:hAnsiTheme="minorHAnsi"/>
      <w:kern w:val="0"/>
      <w:sz w:val="22"/>
      <w14:ligatures w14:val="none"/>
    </w:rPr>
  </w:style>
  <w:style w:type="paragraph" w:styleId="Ttulo1">
    <w:name w:val="heading 1"/>
    <w:basedOn w:val="Normal"/>
    <w:link w:val="Ttulo1Car"/>
    <w:uiPriority w:val="9"/>
    <w:qFormat/>
    <w:rsid w:val="001C2BBE"/>
    <w:pPr>
      <w:widowControl w:val="0"/>
      <w:autoSpaceDE w:val="0"/>
      <w:autoSpaceDN w:val="0"/>
      <w:spacing w:before="40" w:line="240" w:lineRule="auto"/>
      <w:ind w:left="848" w:firstLine="0"/>
      <w:outlineLvl w:val="0"/>
    </w:pPr>
    <w:rPr>
      <w:rFonts w:ascii="Arial" w:eastAsia="Arial" w:hAnsi="Arial" w:cs="Arial"/>
      <w:b/>
      <w:bCs/>
      <w:sz w:val="24"/>
      <w:szCs w:val="24"/>
      <w:lang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BBE"/>
    <w:rPr>
      <w:rFonts w:eastAsia="Arial" w:cs="Arial"/>
      <w:b/>
      <w:bCs/>
      <w:kern w:val="0"/>
      <w:szCs w:val="24"/>
      <w:lang w:eastAsia="es-PE" w:bidi="es-PE"/>
      <w14:ligatures w14:val="none"/>
    </w:rPr>
  </w:style>
  <w:style w:type="table" w:customStyle="1" w:styleId="TableNormal">
    <w:name w:val="Table Normal"/>
    <w:uiPriority w:val="2"/>
    <w:semiHidden/>
    <w:unhideWhenUsed/>
    <w:qFormat/>
    <w:rsid w:val="001C2BBE"/>
    <w:pPr>
      <w:widowControl w:val="0"/>
      <w:autoSpaceDE w:val="0"/>
      <w:autoSpaceDN w:val="0"/>
      <w:spacing w:after="0" w:line="240" w:lineRule="auto"/>
    </w:pPr>
    <w:rPr>
      <w:rFonts w:asciiTheme="minorHAnsi" w:hAnsiTheme="minorHAnsi"/>
      <w:kern w:val="0"/>
      <w:sz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2BBE"/>
    <w:pPr>
      <w:widowControl w:val="0"/>
      <w:autoSpaceDE w:val="0"/>
      <w:autoSpaceDN w:val="0"/>
      <w:spacing w:line="240" w:lineRule="auto"/>
      <w:ind w:firstLine="0"/>
    </w:pPr>
    <w:rPr>
      <w:rFonts w:ascii="Georgia" w:eastAsia="Georgia" w:hAnsi="Georgia" w:cs="Georgia"/>
      <w:sz w:val="24"/>
      <w:szCs w:val="24"/>
      <w:lang w:eastAsia="es-PE" w:bidi="es-PE"/>
    </w:rPr>
  </w:style>
  <w:style w:type="character" w:customStyle="1" w:styleId="TextoindependienteCar">
    <w:name w:val="Texto independiente Car"/>
    <w:basedOn w:val="Fuentedeprrafopredeter"/>
    <w:link w:val="Textoindependiente"/>
    <w:uiPriority w:val="1"/>
    <w:rsid w:val="001C2BBE"/>
    <w:rPr>
      <w:rFonts w:ascii="Georgia" w:eastAsia="Georgia" w:hAnsi="Georgia" w:cs="Georgia"/>
      <w:kern w:val="0"/>
      <w:szCs w:val="24"/>
      <w:lang w:eastAsia="es-PE" w:bidi="es-PE"/>
      <w14:ligatures w14:val="none"/>
    </w:rPr>
  </w:style>
  <w:style w:type="paragraph" w:customStyle="1" w:styleId="TableParagraph">
    <w:name w:val="Table Paragraph"/>
    <w:basedOn w:val="Normal"/>
    <w:uiPriority w:val="1"/>
    <w:qFormat/>
    <w:rsid w:val="001C2BBE"/>
    <w:pPr>
      <w:widowControl w:val="0"/>
      <w:autoSpaceDE w:val="0"/>
      <w:autoSpaceDN w:val="0"/>
      <w:spacing w:before="49" w:line="240" w:lineRule="auto"/>
      <w:ind w:left="674" w:right="731" w:firstLine="0"/>
      <w:jc w:val="center"/>
    </w:pPr>
    <w:rPr>
      <w:rFonts w:ascii="Georgia" w:eastAsia="Georgia" w:hAnsi="Georgia" w:cs="Georgia"/>
      <w:lang w:eastAsia="es-PE" w:bidi="es-PE"/>
    </w:rPr>
  </w:style>
  <w:style w:type="paragraph" w:customStyle="1" w:styleId="paragraph">
    <w:name w:val="paragraph"/>
    <w:basedOn w:val="Normal"/>
    <w:rsid w:val="00695223"/>
    <w:pPr>
      <w:spacing w:before="100" w:beforeAutospacing="1" w:after="100" w:afterAutospacing="1" w:line="240" w:lineRule="auto"/>
      <w:ind w:firstLine="0"/>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95223"/>
  </w:style>
  <w:style w:type="character" w:customStyle="1" w:styleId="eop">
    <w:name w:val="eop"/>
    <w:basedOn w:val="Fuentedeprrafopredeter"/>
    <w:rsid w:val="00695223"/>
  </w:style>
  <w:style w:type="character" w:styleId="Hipervnculo">
    <w:name w:val="Hyperlink"/>
    <w:basedOn w:val="Fuentedeprrafopredeter"/>
    <w:uiPriority w:val="99"/>
    <w:unhideWhenUsed/>
    <w:rsid w:val="003656E1"/>
    <w:rPr>
      <w:color w:val="0563C1" w:themeColor="hyperlink"/>
      <w:u w:val="single"/>
    </w:rPr>
  </w:style>
  <w:style w:type="character" w:customStyle="1" w:styleId="Mencinsinresolver1">
    <w:name w:val="Mención sin resolver1"/>
    <w:basedOn w:val="Fuentedeprrafopredeter"/>
    <w:uiPriority w:val="99"/>
    <w:semiHidden/>
    <w:unhideWhenUsed/>
    <w:rsid w:val="003656E1"/>
    <w:rPr>
      <w:color w:val="605E5C"/>
      <w:shd w:val="clear" w:color="auto" w:fill="E1DFDD"/>
    </w:rPr>
  </w:style>
  <w:style w:type="character" w:styleId="Refdecomentario">
    <w:name w:val="annotation reference"/>
    <w:basedOn w:val="Fuentedeprrafopredeter"/>
    <w:uiPriority w:val="99"/>
    <w:semiHidden/>
    <w:unhideWhenUsed/>
    <w:rsid w:val="000D557C"/>
    <w:rPr>
      <w:sz w:val="16"/>
      <w:szCs w:val="16"/>
    </w:rPr>
  </w:style>
  <w:style w:type="paragraph" w:styleId="Textocomentario">
    <w:name w:val="annotation text"/>
    <w:basedOn w:val="Normal"/>
    <w:link w:val="TextocomentarioCar"/>
    <w:uiPriority w:val="99"/>
    <w:semiHidden/>
    <w:unhideWhenUsed/>
    <w:rsid w:val="000D55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57C"/>
    <w:rPr>
      <w:rFonts w:asciiTheme="minorHAnsi" w:hAnsiTheme="minorHAns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D557C"/>
    <w:rPr>
      <w:b/>
      <w:bCs/>
    </w:rPr>
  </w:style>
  <w:style w:type="character" w:customStyle="1" w:styleId="AsuntodelcomentarioCar">
    <w:name w:val="Asunto del comentario Car"/>
    <w:basedOn w:val="TextocomentarioCar"/>
    <w:link w:val="Asuntodelcomentario"/>
    <w:uiPriority w:val="99"/>
    <w:semiHidden/>
    <w:rsid w:val="000D557C"/>
    <w:rPr>
      <w:rFonts w:asciiTheme="minorHAnsi" w:hAnsiTheme="minorHAnsi"/>
      <w:b/>
      <w:bCs/>
      <w:kern w:val="0"/>
      <w:sz w:val="20"/>
      <w:szCs w:val="20"/>
      <w14:ligatures w14:val="none"/>
    </w:rPr>
  </w:style>
  <w:style w:type="paragraph" w:styleId="Textodeglobo">
    <w:name w:val="Balloon Text"/>
    <w:basedOn w:val="Normal"/>
    <w:link w:val="TextodegloboCar"/>
    <w:uiPriority w:val="99"/>
    <w:semiHidden/>
    <w:unhideWhenUsed/>
    <w:rsid w:val="000D557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57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69596">
      <w:bodyDiv w:val="1"/>
      <w:marLeft w:val="0"/>
      <w:marRight w:val="0"/>
      <w:marTop w:val="0"/>
      <w:marBottom w:val="0"/>
      <w:divBdr>
        <w:top w:val="none" w:sz="0" w:space="0" w:color="auto"/>
        <w:left w:val="none" w:sz="0" w:space="0" w:color="auto"/>
        <w:bottom w:val="none" w:sz="0" w:space="0" w:color="auto"/>
        <w:right w:val="none" w:sz="0" w:space="0" w:color="auto"/>
      </w:divBdr>
    </w:div>
    <w:div w:id="2132943385">
      <w:bodyDiv w:val="1"/>
      <w:marLeft w:val="0"/>
      <w:marRight w:val="0"/>
      <w:marTop w:val="0"/>
      <w:marBottom w:val="0"/>
      <w:divBdr>
        <w:top w:val="none" w:sz="0" w:space="0" w:color="auto"/>
        <w:left w:val="none" w:sz="0" w:space="0" w:color="auto"/>
        <w:bottom w:val="none" w:sz="0" w:space="0" w:color="auto"/>
        <w:right w:val="none" w:sz="0" w:space="0" w:color="auto"/>
      </w:divBdr>
      <w:divsChild>
        <w:div w:id="1258755457">
          <w:marLeft w:val="0"/>
          <w:marRight w:val="0"/>
          <w:marTop w:val="0"/>
          <w:marBottom w:val="0"/>
          <w:divBdr>
            <w:top w:val="none" w:sz="0" w:space="0" w:color="auto"/>
            <w:left w:val="none" w:sz="0" w:space="0" w:color="auto"/>
            <w:bottom w:val="none" w:sz="0" w:space="0" w:color="auto"/>
            <w:right w:val="none" w:sz="0" w:space="0" w:color="auto"/>
          </w:divBdr>
        </w:div>
        <w:div w:id="378356765">
          <w:marLeft w:val="0"/>
          <w:marRight w:val="0"/>
          <w:marTop w:val="0"/>
          <w:marBottom w:val="0"/>
          <w:divBdr>
            <w:top w:val="none" w:sz="0" w:space="0" w:color="auto"/>
            <w:left w:val="none" w:sz="0" w:space="0" w:color="auto"/>
            <w:bottom w:val="none" w:sz="0" w:space="0" w:color="auto"/>
            <w:right w:val="none" w:sz="0" w:space="0" w:color="auto"/>
          </w:divBdr>
        </w:div>
        <w:div w:id="70205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A2A7-9C16-4504-90D9-267DAD04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Muro</dc:creator>
  <cp:keywords/>
  <dc:description/>
  <cp:lastModifiedBy>Sebastian Muro</cp:lastModifiedBy>
  <cp:revision>100</cp:revision>
  <dcterms:created xsi:type="dcterms:W3CDTF">2024-06-04T13:16:00Z</dcterms:created>
  <dcterms:modified xsi:type="dcterms:W3CDTF">2024-06-14T18:17:00Z</dcterms:modified>
</cp:coreProperties>
</file>