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848" w:rsidRPr="001502E2" w:rsidRDefault="001502E2" w:rsidP="009D13AF">
      <w:pPr>
        <w:spacing w:before="100" w:beforeAutospacing="1" w:after="100" w:afterAutospacing="1"/>
        <w:jc w:val="center"/>
        <w:outlineLvl w:val="3"/>
        <w:rPr>
          <w:b/>
          <w:sz w:val="28"/>
          <w:szCs w:val="32"/>
          <w:lang w:val="es-ES"/>
        </w:rPr>
      </w:pPr>
      <w:r w:rsidRPr="001502E2">
        <w:rPr>
          <w:b/>
          <w:sz w:val="28"/>
          <w:szCs w:val="32"/>
          <w:lang w:val="es-ES"/>
        </w:rPr>
        <w:t>Revisión Sistemática sobre Fitorremediación en metales pesados: Un Enfoque Basado en el Método PRISMA</w:t>
      </w:r>
    </w:p>
    <w:p w:rsidR="00D74236" w:rsidRPr="00D74236" w:rsidRDefault="00D74236" w:rsidP="00D74236">
      <w:pPr>
        <w:jc w:val="center"/>
        <w:rPr>
          <w:b/>
          <w:sz w:val="28"/>
          <w:szCs w:val="32"/>
          <w:lang w:val="es-ES"/>
        </w:rPr>
      </w:pPr>
    </w:p>
    <w:p w:rsidR="00D05D07" w:rsidRDefault="001502E2" w:rsidP="00D05D07">
      <w:pPr>
        <w:pStyle w:val="Els-Author"/>
        <w:keepNext w:val="0"/>
        <w:suppressAutoHyphens w:val="0"/>
        <w:rPr>
          <w:lang w:val="es-PE"/>
        </w:rPr>
      </w:pPr>
      <w:r>
        <w:rPr>
          <w:lang w:val="es-PE"/>
        </w:rPr>
        <w:t xml:space="preserve"> Luis Angel Zanabria Arocutipa</w:t>
      </w:r>
      <w:r w:rsidR="00D74236">
        <w:rPr>
          <w:vertAlign w:val="superscript"/>
          <w:lang w:val="es-PE"/>
        </w:rPr>
        <w:t>1</w:t>
      </w:r>
    </w:p>
    <w:p w:rsidR="00E64848" w:rsidRPr="00A04EA7" w:rsidRDefault="00D05D07" w:rsidP="00D05D07">
      <w:pPr>
        <w:pStyle w:val="Els-Author"/>
        <w:keepNext w:val="0"/>
        <w:suppressAutoHyphens w:val="0"/>
        <w:rPr>
          <w:lang w:val="es-PE"/>
        </w:rPr>
      </w:pPr>
      <w:r>
        <w:rPr>
          <w:vertAlign w:val="superscript"/>
          <w:lang w:val="es-PE"/>
        </w:rPr>
        <w:t>1</w:t>
      </w:r>
      <w:r w:rsidR="00717860">
        <w:rPr>
          <w:lang w:val="es-PE"/>
        </w:rPr>
        <w:t>Universidad Peruana Unión</w:t>
      </w:r>
      <w:r>
        <w:rPr>
          <w:lang w:val="es-PE"/>
        </w:rPr>
        <w:t xml:space="preserve">, </w:t>
      </w:r>
      <w:r w:rsidR="00C660D0">
        <w:rPr>
          <w:lang w:val="es-PE"/>
        </w:rPr>
        <w:t xml:space="preserve">Facultad de Ingenieria y Arquitectura, EP Ingenieria Ambiental </w:t>
      </w:r>
      <w:r w:rsidR="001833AC">
        <w:rPr>
          <w:lang w:val="es-PE"/>
        </w:rPr>
        <w:t>Lima</w:t>
      </w:r>
      <w:r>
        <w:rPr>
          <w:lang w:val="es-PE"/>
        </w:rPr>
        <w:t>, Peru.</w:t>
      </w:r>
    </w:p>
    <w:p w:rsidR="005A5970" w:rsidRPr="00A04EA7" w:rsidRDefault="005A5970" w:rsidP="006549C4">
      <w:pPr>
        <w:pStyle w:val="Els-Affiliation"/>
        <w:suppressAutoHyphens w:val="0"/>
        <w:rPr>
          <w:lang w:val="es-PE"/>
        </w:rPr>
      </w:pPr>
    </w:p>
    <w:p w:rsidR="00015D5D" w:rsidRPr="00A04EA7" w:rsidRDefault="00015D5D" w:rsidP="006549C4">
      <w:pPr>
        <w:pStyle w:val="Els-Affiliation"/>
        <w:suppressAutoHyphens w:val="0"/>
        <w:rPr>
          <w:lang w:val="es-PE"/>
        </w:rPr>
      </w:pPr>
    </w:p>
    <w:p w:rsidR="00E64848" w:rsidRPr="00523B54" w:rsidRDefault="005A5970" w:rsidP="006549C4">
      <w:pPr>
        <w:pStyle w:val="Els-Abstract-head"/>
        <w:keepNext w:val="0"/>
        <w:suppressAutoHyphens w:val="0"/>
        <w:rPr>
          <w:lang w:val="es-PE"/>
        </w:rPr>
      </w:pPr>
      <w:r w:rsidRPr="00523B54">
        <w:rPr>
          <w:lang w:val="es-PE"/>
        </w:rPr>
        <w:t>Resumen</w:t>
      </w:r>
    </w:p>
    <w:p w:rsidR="001502E2" w:rsidRPr="00CD41F8" w:rsidRDefault="001502E2" w:rsidP="001502E2">
      <w:pPr>
        <w:pStyle w:val="paragraph"/>
        <w:spacing w:before="0" w:beforeAutospacing="0" w:after="0" w:afterAutospacing="0"/>
        <w:textAlignment w:val="baseline"/>
        <w:rPr>
          <w:lang w:val="es-ES"/>
        </w:rPr>
      </w:pPr>
      <w:r w:rsidRPr="00CD41F8">
        <w:rPr>
          <w:rStyle w:val="normaltextrun"/>
          <w:lang w:val="es-ES"/>
        </w:rPr>
        <w:t>Este artículo presenta una revisión sistemática de 10 estudios sobre fitorremediación de metales pesados en el suelo entre los años 2012 y 2023. Se analizan investigaciones que abordan la eficacia de especies vegetales como Brassicaceae, Apiaceae y Megathyrsus maximus en la absorción y acumulación de metales pesados, incluyendo cadmio, plomo, cromo y mercurio. Se identifican países líderes en investigación de fitorremediación, destacando su compromiso con la sostenibilidad ambiental. Además, se discuten las técnicas de fitoextracción y fitoestabilización como posibles soluciones para la remediación de suelos contaminados. Este análisis PRISMA proporciona una visión integral de la investigación actual en fitorremediación y resalta la importancia de seguir explorando soluciones innovadoras para proteger el medio ambiente y la salud humana. La fitorremediación ha surgido como una técnica prometedora para remediar suelos contaminados con metales pesados, ofreciendo una solución sostenible a los problemas ambientales.</w:t>
      </w:r>
      <w:r w:rsidRPr="00CD41F8">
        <w:rPr>
          <w:rStyle w:val="eop"/>
          <w:lang w:val="es-ES"/>
        </w:rPr>
        <w:t> </w:t>
      </w:r>
    </w:p>
    <w:p w:rsidR="001502E2" w:rsidRPr="00CD41F8" w:rsidRDefault="001502E2" w:rsidP="001502E2">
      <w:pPr>
        <w:pStyle w:val="paragraph"/>
        <w:spacing w:before="0" w:beforeAutospacing="0" w:after="0" w:afterAutospacing="0"/>
        <w:textAlignment w:val="baseline"/>
        <w:rPr>
          <w:rStyle w:val="eop"/>
          <w:lang w:val="es-ES"/>
        </w:rPr>
      </w:pPr>
      <w:r w:rsidRPr="00CD41F8">
        <w:rPr>
          <w:rStyle w:val="normaltextrun"/>
          <w:lang w:val="es-ES"/>
        </w:rPr>
        <w:t>Palabras claves: fitorremediacion; contaminación; plantas; suelo</w:t>
      </w:r>
      <w:r w:rsidRPr="00CD41F8">
        <w:rPr>
          <w:rStyle w:val="eop"/>
          <w:lang w:val="es-ES"/>
        </w:rPr>
        <w:t> </w:t>
      </w:r>
    </w:p>
    <w:p w:rsidR="001502E2" w:rsidRPr="00CD41F8" w:rsidRDefault="001502E2" w:rsidP="001502E2">
      <w:pPr>
        <w:pStyle w:val="paragraph"/>
        <w:spacing w:before="0" w:beforeAutospacing="0" w:after="0" w:afterAutospacing="0"/>
        <w:textAlignment w:val="baseline"/>
        <w:rPr>
          <w:rStyle w:val="eop"/>
        </w:rPr>
      </w:pPr>
    </w:p>
    <w:p w:rsidR="001502E2" w:rsidRPr="00CD41F8" w:rsidRDefault="001502E2" w:rsidP="001502E2">
      <w:pPr>
        <w:pStyle w:val="paragraph"/>
        <w:spacing w:before="0" w:beforeAutospacing="0" w:after="0" w:afterAutospacing="0"/>
        <w:textAlignment w:val="baseline"/>
      </w:pPr>
    </w:p>
    <w:p w:rsidR="001502E2" w:rsidRPr="00CD41F8" w:rsidRDefault="001502E2" w:rsidP="001502E2">
      <w:pPr>
        <w:rPr>
          <w:rStyle w:val="normaltextrun"/>
          <w:sz w:val="24"/>
          <w:szCs w:val="24"/>
          <w:lang w:val="en-US" w:eastAsia="es-PE"/>
        </w:rPr>
      </w:pPr>
      <w:r w:rsidRPr="00CD41F8">
        <w:rPr>
          <w:rStyle w:val="normaltextrun"/>
          <w:sz w:val="24"/>
          <w:szCs w:val="24"/>
          <w:lang w:val="en-US" w:eastAsia="es-PE"/>
        </w:rPr>
        <w:t xml:space="preserve">This article presents a systematic review of 10 studies on phytoremediation of heavy metals in soil between the years 2012 and 2023. Research that addresses the effectiveness of plant species such as Brassicaceae, Apiaceae and Megathyrsus maximus in the absorption and accumulation of metals is analyzed. heavy. including cadmium, lead, chromium and mercury. Leading countries in phytoremediation research are identified, highlighting their commitment to environmental sustainability. Additionally, phytoextraction and phytostabilization techniques are discussed as possible solutions for the remediation of contaminated soils. This PRISMA analysis provides a comprehensive view of current phytoremediation research and highlights the importance of continuing to explore innovative solutions to protect the environment and human health. Phytoremediation has emerged as a promising technique to remediate soils contaminated with heavy metals, offering a sustainable solution to environmental problems. </w:t>
      </w:r>
    </w:p>
    <w:p w:rsidR="007614D5" w:rsidRPr="00CD41F8" w:rsidRDefault="001502E2" w:rsidP="001502E2">
      <w:pPr>
        <w:rPr>
          <w:sz w:val="24"/>
          <w:szCs w:val="24"/>
          <w:lang w:val="es-PE" w:eastAsia="es-PE"/>
        </w:rPr>
      </w:pPr>
      <w:r w:rsidRPr="00CD41F8">
        <w:rPr>
          <w:rStyle w:val="normaltextrun"/>
          <w:sz w:val="24"/>
          <w:szCs w:val="24"/>
          <w:lang w:val="es-PE" w:eastAsia="es-PE"/>
        </w:rPr>
        <w:t>Keywords: phytoremediation; contamination; plants; soils</w:t>
      </w:r>
    </w:p>
    <w:p w:rsidR="00A97790" w:rsidRPr="00523B54" w:rsidRDefault="00A97790" w:rsidP="006549C4">
      <w:pPr>
        <w:pStyle w:val="Els-keywords"/>
        <w:rPr>
          <w:lang w:val="es-PE"/>
        </w:rPr>
      </w:pPr>
    </w:p>
    <w:p w:rsidR="00197831" w:rsidRPr="001502E2" w:rsidRDefault="00A97790" w:rsidP="001502E2">
      <w:pPr>
        <w:pStyle w:val="Els-1storder-head"/>
        <w:keepNext w:val="0"/>
        <w:suppressAutoHyphens w:val="0"/>
        <w:ind w:left="120" w:hanging="120"/>
        <w:rPr>
          <w:lang w:val="es-PE"/>
        </w:rPr>
      </w:pPr>
      <w:r w:rsidRPr="00523B54">
        <w:rPr>
          <w:lang w:val="es-PE"/>
        </w:rPr>
        <w:t>Introducción</w:t>
      </w:r>
      <w:r w:rsidR="00197831" w:rsidRPr="001502E2">
        <w:rPr>
          <w:sz w:val="22"/>
        </w:rPr>
        <w:t> </w:t>
      </w:r>
    </w:p>
    <w:p w:rsidR="001502E2" w:rsidRPr="00336E10" w:rsidRDefault="001502E2" w:rsidP="00336E10">
      <w:pPr>
        <w:pStyle w:val="APAparrafo"/>
      </w:pPr>
      <w:r w:rsidRPr="00336E10">
        <w:t xml:space="preserve">La fitorremediación ha surgido como una estrategia innovadora y sostenible para abordar la contaminación del suelo por metales pesados, representando una alternativa prometedora en la búsqueda de soluciones ambientales efectivas. En el contexto actual de creciente preocupación por los impactos negativos </w:t>
      </w:r>
      <w:r w:rsidRPr="00336E10">
        <w:lastRenderedPageBreak/>
        <w:t>de la contaminación ambiental, la fitorremediación se posiciona como una herramienta clave para mitigar los efectos adversos de la actividad humana en los ecosistemas terrestres.</w:t>
      </w:r>
    </w:p>
    <w:p w:rsidR="001502E2" w:rsidRPr="00336E10" w:rsidRDefault="001502E2" w:rsidP="00336E10">
      <w:pPr>
        <w:pStyle w:val="APAparrafo"/>
      </w:pPr>
      <w:r w:rsidRPr="00336E10">
        <w:t>Este estudio se centra en una revisión sistemática de 10 investigaciones realizadas entre los años 2012 y 2023, que exploran la aplicación de la fitorremediación en suelos contaminados con metales pesados. La presencia de metales como cadmio, plomo, cromo y otros elementos tóxicos en el suelo representa un desafío ambiental significativo, con impactos potenciales en la salud humana, la biodiversidad y la calidad de los ecosistemas.</w:t>
      </w:r>
    </w:p>
    <w:p w:rsidR="001502E2" w:rsidRPr="00336E10" w:rsidRDefault="001502E2" w:rsidP="00336E10">
      <w:pPr>
        <w:pStyle w:val="APAparrafo"/>
      </w:pPr>
      <w:r w:rsidRPr="00336E10">
        <w:t>Durante las últimas décadas, se ha observado un aumento en la investigación y aplicación de la fitorremediación como una técnica eco-amigable y económicamente viable para la restauración de suelos contaminados. La capacidad de ciertas especies vegetales para absorber, acumular y metabolizar metales pesados del suelo ha despertado un gran interés en la comunidad científica y en los sectores relacionados con la gestión ambiental.</w:t>
      </w:r>
    </w:p>
    <w:p w:rsidR="001502E2" w:rsidRPr="00336E10" w:rsidRDefault="001502E2" w:rsidP="00336E10">
      <w:pPr>
        <w:pStyle w:val="APAparrafo"/>
      </w:pPr>
      <w:r w:rsidRPr="00336E10">
        <w:t>En este contexto, los estudios revisados en esta investigación abordan la eficacia de diferentes especies vegetales, como Brassicaceae, Apiaceae y Megathyrsus maximus, en la fitorremediación de suelos contaminados con metales pesados. Se examina la capacidad de estas plantas para absorber metales tóxicos del suelo, así como su potencial para mejorar la calidad del sustrato y restaurar la funcionalidad de los ecosistemas afectados.</w:t>
      </w:r>
    </w:p>
    <w:p w:rsidR="00197831" w:rsidRPr="00336E10" w:rsidRDefault="001502E2" w:rsidP="00336E10">
      <w:pPr>
        <w:pStyle w:val="APAparrafo"/>
      </w:pPr>
      <w:r w:rsidRPr="00336E10">
        <w:t>Además, se analiza la distribución geográfica de la investigación en fitorremediación, identificando países líderes en este campo y destacando su compromiso con la sostenibilidad ambiental. La revisión sistemática realizada siguiendo las directrices del método PRISMA proporciona una visión integral de la investigación actual en fitorremediación de metales pesados en el suelo, subrayando la importancia de continuar explorando soluciones innovadoras para proteger el medio ambiente y garantizar la salud de los ecosistemas y las comunidades humanas.</w:t>
      </w:r>
    </w:p>
    <w:p w:rsidR="00E04759" w:rsidRPr="00EE4ADC" w:rsidRDefault="00E04759" w:rsidP="00E04759">
      <w:pPr>
        <w:pStyle w:val="Els-1storder-head"/>
        <w:rPr>
          <w:lang w:eastAsia="es-PE"/>
        </w:rPr>
      </w:pPr>
      <w:r w:rsidRPr="00EE4ADC">
        <w:rPr>
          <w:lang w:eastAsia="es-PE"/>
        </w:rPr>
        <w:lastRenderedPageBreak/>
        <w:t>Metodología</w:t>
      </w:r>
    </w:p>
    <w:p w:rsidR="00E04759" w:rsidRPr="00336E10" w:rsidRDefault="00E04759" w:rsidP="00336E10">
      <w:pPr>
        <w:pStyle w:val="APAparrafo"/>
      </w:pPr>
      <w:r w:rsidRPr="00336E10">
        <w:t>Se siguieron las directrices del método PRISMA (Preferred Reporting Items for Systematic reviews and Meta-Analyses) para la selección y análisis de estudios.</w:t>
      </w:r>
    </w:p>
    <w:p w:rsidR="00E04759" w:rsidRPr="00336E10" w:rsidRDefault="00E04759" w:rsidP="00336E10">
      <w:pPr>
        <w:pStyle w:val="APAparrafo"/>
      </w:pPr>
      <w:r w:rsidRPr="00336E10">
        <w:t>se realizó una búsqueda exhaustiva en la base de datos en Scopus utilizando palabras clave relacionadas con fitorremediación, metales pesados, plantas y contaminación del suelo. Se realizó un estudio de 40 artículos aplicando filtros específicos para poder seleccionar los 10 articulos incluidos en esta revisión sistemática. </w:t>
      </w:r>
    </w:p>
    <w:p w:rsidR="00E04759" w:rsidRPr="00336E10" w:rsidRDefault="00E04759" w:rsidP="00336E10">
      <w:pPr>
        <w:pStyle w:val="APAparrafo"/>
      </w:pPr>
      <w:r w:rsidRPr="00336E10">
        <w:t>Identificación de estudios: Se realizó una búsqueda en base de datos científica (Scopus) utilizando palabras clave como "phytoremediation", "contamination", "plants" y "soils".</w:t>
      </w:r>
    </w:p>
    <w:p w:rsidR="00E04759" w:rsidRPr="00336E10" w:rsidRDefault="00E04759" w:rsidP="00336E10">
      <w:pPr>
        <w:pStyle w:val="APAparrafo"/>
      </w:pPr>
      <w:r w:rsidRPr="00336E10">
        <w:t>Selección de estudios: Se seleccionaron artículos publicados entre 2010 y 2023. Se incluyeron estudios que evaluaran cuantitativamente la eficacia de la fitorremediación.</w:t>
      </w:r>
    </w:p>
    <w:p w:rsidR="00E04759" w:rsidRPr="00336E10" w:rsidRDefault="00E04759" w:rsidP="00336E10">
      <w:pPr>
        <w:pStyle w:val="APAparrafo"/>
      </w:pPr>
      <w:r w:rsidRPr="00336E10">
        <w:t>Elegibilidad: Se excluyeron estudios que no proporcionaban datos relevantes o que no estaban disponibles en texto completo.</w:t>
      </w:r>
    </w:p>
    <w:p w:rsidR="00E04759" w:rsidRPr="00336E10" w:rsidRDefault="00E04759" w:rsidP="00336E10">
      <w:pPr>
        <w:pStyle w:val="APAparrafo"/>
      </w:pPr>
      <w:r w:rsidRPr="00336E10">
        <w:t>Inclusión: Se incluyeron finalmente 10 estudios que cumplían con los criterios establecidos.</w:t>
      </w:r>
    </w:p>
    <w:p w:rsidR="00E04759" w:rsidRPr="00EE4ADC" w:rsidRDefault="00E04759" w:rsidP="00E04759">
      <w:pPr>
        <w:spacing w:before="100" w:beforeAutospacing="1" w:after="100" w:afterAutospacing="1"/>
        <w:ind w:left="720"/>
        <w:rPr>
          <w:sz w:val="24"/>
          <w:szCs w:val="24"/>
          <w:lang w:eastAsia="es-PE"/>
        </w:rPr>
      </w:pPr>
      <w:r w:rsidRPr="00D325E1">
        <w:rPr>
          <w:noProof/>
          <w:sz w:val="24"/>
          <w:szCs w:val="24"/>
          <w:lang w:val="es-PE" w:eastAsia="es-PE"/>
        </w:rPr>
        <w:lastRenderedPageBreak/>
        <w:drawing>
          <wp:inline distT="0" distB="0" distL="0" distR="0" wp14:anchorId="327F8D9A" wp14:editId="62681A32">
            <wp:extent cx="5334744" cy="5934903"/>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4744" cy="5934903"/>
                    </a:xfrm>
                    <a:prstGeom prst="rect">
                      <a:avLst/>
                    </a:prstGeom>
                  </pic:spPr>
                </pic:pic>
              </a:graphicData>
            </a:graphic>
          </wp:inline>
        </w:drawing>
      </w:r>
    </w:p>
    <w:p w:rsidR="00E04759" w:rsidRPr="00E04759" w:rsidRDefault="00E04759" w:rsidP="00A2785D">
      <w:pPr>
        <w:pStyle w:val="Els-1storder-head"/>
        <w:rPr>
          <w:lang w:eastAsia="es-PE"/>
        </w:rPr>
      </w:pPr>
      <w:r w:rsidRPr="00E04759">
        <w:rPr>
          <w:lang w:eastAsia="es-PE"/>
        </w:rPr>
        <w:t>Resultados</w:t>
      </w:r>
    </w:p>
    <w:p w:rsidR="00E04759" w:rsidRPr="009D25E3" w:rsidRDefault="00E04759" w:rsidP="00A129C3">
      <w:pPr>
        <w:pStyle w:val="APAparrafo"/>
      </w:pPr>
      <w:r w:rsidRPr="009D25E3">
        <w:t>Una vez concluido la metodología PRISMA y habiendo recopilado un total 10 artículos previamente seleccionados se procede a representar la tabla de los artículos seleccionados y estrategias que se han utilizado.</w:t>
      </w:r>
    </w:p>
    <w:p w:rsidR="00E04759" w:rsidRPr="009D25E3" w:rsidRDefault="00E04759" w:rsidP="00A129C3">
      <w:pPr>
        <w:pStyle w:val="APAparrafo"/>
      </w:pPr>
      <w:r w:rsidRPr="009D25E3">
        <w:t>Estrategias de Fitorremediación</w:t>
      </w:r>
    </w:p>
    <w:p w:rsidR="00E04759" w:rsidRPr="009D25E3" w:rsidRDefault="00E04759" w:rsidP="00E04759">
      <w:pPr>
        <w:spacing w:before="100" w:beforeAutospacing="1" w:after="100" w:afterAutospacing="1"/>
        <w:ind w:left="720"/>
        <w:rPr>
          <w:rFonts w:eastAsiaTheme="minorHAnsi"/>
          <w:sz w:val="22"/>
          <w:szCs w:val="22"/>
          <w:lang w:val="es-PE"/>
        </w:rPr>
      </w:pPr>
      <w:r w:rsidRPr="009D25E3">
        <w:rPr>
          <w:rFonts w:eastAsiaTheme="minorHAnsi"/>
          <w:sz w:val="22"/>
          <w:szCs w:val="22"/>
          <w:lang w:val="es-PE"/>
        </w:rPr>
        <w:t>Fitoextracción</w:t>
      </w:r>
    </w:p>
    <w:p w:rsidR="00E04759" w:rsidRPr="00336E10" w:rsidRDefault="00E04759" w:rsidP="00336E10">
      <w:pPr>
        <w:spacing w:before="100" w:beforeAutospacing="1" w:after="100" w:afterAutospacing="1"/>
        <w:ind w:left="1440"/>
        <w:rPr>
          <w:rFonts w:eastAsiaTheme="minorHAnsi"/>
          <w:sz w:val="22"/>
          <w:szCs w:val="22"/>
          <w:lang w:val="es-PE"/>
        </w:rPr>
      </w:pPr>
      <w:r w:rsidRPr="00336E10">
        <w:rPr>
          <w:rFonts w:eastAsiaTheme="minorHAnsi"/>
          <w:sz w:val="22"/>
          <w:szCs w:val="22"/>
          <w:lang w:val="es-PE"/>
        </w:rPr>
        <w:t>Especies: Brassica juncea, Helianthus annuus.</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Contaminantes: Metales pesados (cadmio, plomo).</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lastRenderedPageBreak/>
        <w:t>Eficacia: Alta acumulación de metales en tejidos vegetales.</w:t>
      </w:r>
    </w:p>
    <w:p w:rsidR="00E04759" w:rsidRPr="009D25E3" w:rsidRDefault="00E04759" w:rsidP="00E04759">
      <w:pPr>
        <w:spacing w:before="100" w:beforeAutospacing="1" w:after="100" w:afterAutospacing="1"/>
        <w:ind w:left="720"/>
        <w:rPr>
          <w:rFonts w:eastAsiaTheme="minorHAnsi"/>
          <w:sz w:val="22"/>
          <w:szCs w:val="22"/>
          <w:lang w:val="es-PE"/>
        </w:rPr>
      </w:pPr>
      <w:r w:rsidRPr="009D25E3">
        <w:rPr>
          <w:rFonts w:eastAsiaTheme="minorHAnsi"/>
          <w:sz w:val="22"/>
          <w:szCs w:val="22"/>
          <w:lang w:val="es-PE"/>
        </w:rPr>
        <w:t>Fitorrestauración</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Especies: Populus spp., Salix spp.</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Contaminantes: Metales pesados, hidrocarburos.</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Eficacia: Reducción significativa de la movilidad de contaminantes.</w:t>
      </w:r>
    </w:p>
    <w:p w:rsidR="00E04759" w:rsidRPr="009D25E3" w:rsidRDefault="00E04759" w:rsidP="00E04759">
      <w:pPr>
        <w:spacing w:before="100" w:beforeAutospacing="1" w:after="100" w:afterAutospacing="1"/>
        <w:ind w:left="720"/>
        <w:rPr>
          <w:rFonts w:eastAsiaTheme="minorHAnsi"/>
          <w:sz w:val="22"/>
          <w:szCs w:val="22"/>
          <w:lang w:val="es-PE"/>
        </w:rPr>
      </w:pPr>
      <w:r w:rsidRPr="009D25E3">
        <w:rPr>
          <w:rFonts w:eastAsiaTheme="minorHAnsi"/>
          <w:sz w:val="22"/>
          <w:szCs w:val="22"/>
          <w:lang w:val="es-PE"/>
        </w:rPr>
        <w:t>Fitodegradación</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Especies: Phragmites australis, Typha latifolia.</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Contaminantes: Compuestos orgánicos (pesticidas, hidrocarburos).</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Eficacia: Alta tasa de degradación enzimática.</w:t>
      </w:r>
    </w:p>
    <w:p w:rsidR="00E04759" w:rsidRPr="009D25E3" w:rsidRDefault="00E04759" w:rsidP="00E04759">
      <w:pPr>
        <w:spacing w:before="100" w:beforeAutospacing="1" w:after="100" w:afterAutospacing="1"/>
        <w:ind w:left="720"/>
        <w:rPr>
          <w:rFonts w:eastAsiaTheme="minorHAnsi"/>
          <w:sz w:val="22"/>
          <w:szCs w:val="22"/>
          <w:lang w:val="es-PE"/>
        </w:rPr>
      </w:pPr>
      <w:r w:rsidRPr="009D25E3">
        <w:rPr>
          <w:rFonts w:eastAsiaTheme="minorHAnsi"/>
          <w:sz w:val="22"/>
          <w:szCs w:val="22"/>
          <w:lang w:val="es-PE"/>
        </w:rPr>
        <w:t>Fitovolatilización</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Especies: Arabidopsis thaliana, Nicotiana tabacum.</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Contaminantes: Mercurio, compuestos orgánicos volátiles.</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Eficacia: Volatilización eficiente de contaminantes.</w:t>
      </w:r>
    </w:p>
    <w:p w:rsidR="00E04759" w:rsidRPr="009D25E3" w:rsidRDefault="00E04759" w:rsidP="00E04759">
      <w:pPr>
        <w:spacing w:before="100" w:beforeAutospacing="1" w:after="100" w:afterAutospacing="1"/>
        <w:outlineLvl w:val="4"/>
        <w:rPr>
          <w:rFonts w:eastAsiaTheme="minorHAnsi"/>
          <w:sz w:val="22"/>
          <w:szCs w:val="22"/>
          <w:lang w:val="es-PE"/>
        </w:rPr>
      </w:pPr>
      <w:r w:rsidRPr="009D25E3">
        <w:rPr>
          <w:rFonts w:eastAsiaTheme="minorHAnsi"/>
          <w:sz w:val="22"/>
          <w:szCs w:val="22"/>
          <w:lang w:val="es-PE"/>
        </w:rPr>
        <w:t>Contaminantes Tratados</w:t>
      </w:r>
    </w:p>
    <w:p w:rsidR="00E04759" w:rsidRPr="009D25E3" w:rsidRDefault="00E04759" w:rsidP="00E04759">
      <w:pPr>
        <w:spacing w:before="100" w:beforeAutospacing="1" w:after="100" w:afterAutospacing="1"/>
        <w:ind w:left="720"/>
        <w:rPr>
          <w:rFonts w:eastAsiaTheme="minorHAnsi"/>
          <w:sz w:val="22"/>
          <w:szCs w:val="22"/>
          <w:lang w:val="es-PE"/>
        </w:rPr>
      </w:pPr>
      <w:r w:rsidRPr="009D25E3">
        <w:rPr>
          <w:rFonts w:eastAsiaTheme="minorHAnsi"/>
          <w:sz w:val="22"/>
          <w:szCs w:val="22"/>
          <w:lang w:val="es-PE"/>
        </w:rPr>
        <w:t>Metales Pesados</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Especies: Pteris vittata, Brassica juncea.</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Contaminantes: Arsénico, cadmio, plomo.</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Resultados: Reducción significativa de concentraciones de metales en suelos.</w:t>
      </w:r>
    </w:p>
    <w:p w:rsidR="00E04759" w:rsidRPr="009D25E3" w:rsidRDefault="00E04759" w:rsidP="00E04759">
      <w:pPr>
        <w:spacing w:before="100" w:beforeAutospacing="1" w:after="100" w:afterAutospacing="1"/>
        <w:ind w:left="720"/>
        <w:rPr>
          <w:rFonts w:eastAsiaTheme="minorHAnsi"/>
          <w:sz w:val="22"/>
          <w:szCs w:val="22"/>
          <w:lang w:val="es-PE"/>
        </w:rPr>
      </w:pPr>
      <w:r w:rsidRPr="009D25E3">
        <w:rPr>
          <w:rFonts w:eastAsiaTheme="minorHAnsi"/>
          <w:sz w:val="22"/>
          <w:szCs w:val="22"/>
          <w:lang w:val="es-PE"/>
        </w:rPr>
        <w:t>Compuestos Orgánicos</w:t>
      </w:r>
    </w:p>
    <w:p w:rsidR="00E04759" w:rsidRPr="00336E10" w:rsidRDefault="00E04759" w:rsidP="00336E10">
      <w:pPr>
        <w:spacing w:before="100" w:beforeAutospacing="1" w:after="100" w:afterAutospacing="1"/>
        <w:ind w:left="1440"/>
        <w:rPr>
          <w:rFonts w:eastAsiaTheme="minorHAnsi"/>
          <w:sz w:val="22"/>
          <w:szCs w:val="22"/>
          <w:lang w:val="es-PE"/>
        </w:rPr>
      </w:pPr>
      <w:r w:rsidRPr="00336E10">
        <w:rPr>
          <w:rFonts w:eastAsiaTheme="minorHAnsi"/>
          <w:sz w:val="22"/>
          <w:szCs w:val="22"/>
          <w:lang w:val="es-PE"/>
        </w:rPr>
        <w:t>Especies: Poaceae spp., Cyperaceae spp.</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Contaminantes: Hidrocarburos, pesticidas.</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Resultados: Degradación efectiva de contaminantes orgánicos.</w:t>
      </w:r>
    </w:p>
    <w:p w:rsidR="00E04759" w:rsidRPr="009D25E3" w:rsidRDefault="00E04759" w:rsidP="00E04759">
      <w:pPr>
        <w:spacing w:before="100" w:beforeAutospacing="1" w:after="100" w:afterAutospacing="1"/>
        <w:ind w:left="720"/>
        <w:rPr>
          <w:rFonts w:eastAsiaTheme="minorHAnsi"/>
          <w:sz w:val="22"/>
          <w:szCs w:val="22"/>
          <w:lang w:val="es-PE"/>
        </w:rPr>
      </w:pPr>
      <w:r w:rsidRPr="009D25E3">
        <w:rPr>
          <w:rFonts w:eastAsiaTheme="minorHAnsi"/>
          <w:sz w:val="22"/>
          <w:szCs w:val="22"/>
          <w:lang w:val="es-PE"/>
        </w:rPr>
        <w:t>Nutrientes en Exceso</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Especies: Eichhornia crassipes, Lemna minor.</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Contaminantes: Nitrógeno, fósforo.</w:t>
      </w:r>
    </w:p>
    <w:p w:rsidR="00E04759" w:rsidRPr="009D25E3" w:rsidRDefault="00E04759" w:rsidP="00336E10">
      <w:pPr>
        <w:spacing w:before="100" w:beforeAutospacing="1" w:after="100" w:afterAutospacing="1"/>
        <w:ind w:left="1440"/>
        <w:rPr>
          <w:rFonts w:eastAsiaTheme="minorHAnsi"/>
          <w:sz w:val="22"/>
          <w:szCs w:val="22"/>
          <w:lang w:val="es-PE"/>
        </w:rPr>
      </w:pPr>
      <w:r w:rsidRPr="009D25E3">
        <w:rPr>
          <w:rFonts w:eastAsiaTheme="minorHAnsi"/>
          <w:sz w:val="22"/>
          <w:szCs w:val="22"/>
          <w:lang w:val="es-PE"/>
        </w:rPr>
        <w:t>Resultados: Reducción de nutrientes en aguas residuales.</w:t>
      </w:r>
    </w:p>
    <w:p w:rsidR="00E04759" w:rsidRPr="00E04759" w:rsidRDefault="00E04759" w:rsidP="00A2785D">
      <w:pPr>
        <w:pStyle w:val="Els-1storder-head"/>
        <w:rPr>
          <w:lang w:eastAsia="es-PE"/>
        </w:rPr>
      </w:pPr>
      <w:r w:rsidRPr="00E04759">
        <w:rPr>
          <w:lang w:eastAsia="es-PE"/>
        </w:rPr>
        <w:lastRenderedPageBreak/>
        <w:t>Discusión</w:t>
      </w:r>
    </w:p>
    <w:p w:rsidR="00E04759" w:rsidRPr="00336E10" w:rsidRDefault="00E04759" w:rsidP="00336E10">
      <w:pPr>
        <w:pStyle w:val="APAparrafo"/>
      </w:pPr>
      <w:r w:rsidRPr="00336E10">
        <w:t>La revisión destaca la efectividad de la fitorremediación en la remoción de una amplia gama de contaminantes. La selección de especies vegetales es crucial, ya que diferentes plantas tienen capacidades diversas para acumular, degradar y volatilizar contaminantes. Factores ambientales y el tipo de contaminante también influyen en la eficacia del proceso.</w:t>
      </w:r>
    </w:p>
    <w:p w:rsidR="00E04759" w:rsidRPr="00336E10" w:rsidRDefault="00E04759" w:rsidP="00336E10">
      <w:pPr>
        <w:pStyle w:val="APAparrafo"/>
      </w:pPr>
      <w:r w:rsidRPr="00336E10">
        <w:t>La fitorremediación se presenta como una alternativa prometedora para la remediación de suelos contaminados con metales pesados, ofreciendo beneficios significativos en términos de sostenibilidad ambiental y eficacia en la restauración de ecosistemas degradados. Los estudios revisados en esta investigación han demostrado que especies vegetales como Brassicaceae, Apiaceae y Megathyrsus maximus poseen la capacidad de absorber y acumular metales pesados en sus tejidos, contribuyendo a la descontaminación del suelo y a la mejora de su calidad.</w:t>
      </w:r>
    </w:p>
    <w:p w:rsidR="00E04759" w:rsidRPr="00336E10" w:rsidRDefault="00E04759" w:rsidP="00336E10">
      <w:pPr>
        <w:pStyle w:val="APAparrafo"/>
      </w:pPr>
      <w:r w:rsidRPr="00336E10">
        <w:t>Uno de los hallazgos destacados en los resúmenes analizados es la variación en la eficacia de la fitorremediación en función del tiempo de exposición de las plantas a los contaminantes. Se observó un aumento en las concentraciones de cadmio, plomo y cromo en el suelo y en las plantas a lo largo del tiempo, lo que sugiere la importancia de considerar la duración óptima de la fitorremediación para lograr resultados efectivos y sostenibles a largo plazo.</w:t>
      </w:r>
    </w:p>
    <w:p w:rsidR="00E04759" w:rsidRPr="00336E10" w:rsidRDefault="00E04759" w:rsidP="00336E10">
      <w:pPr>
        <w:pStyle w:val="APAparrafo"/>
      </w:pPr>
      <w:r w:rsidRPr="00336E10">
        <w:t xml:space="preserve">Además, la identificación de especies vegetales nativas con potencial para la fitorremediación en suelos contaminados por residuos mineros en zonas alto andinas resalta la importancia de la biodiversidad local en la recuperación de ecosistemas afectados por actividades industriales. </w:t>
      </w:r>
    </w:p>
    <w:p w:rsidR="00E04759" w:rsidRPr="00E04759" w:rsidRDefault="00E04759" w:rsidP="00336E10">
      <w:pPr>
        <w:pStyle w:val="APAparrafo"/>
      </w:pPr>
      <w:r w:rsidRPr="00336E10">
        <w:t>La revisión sistemática de la literatura también revela la relevancia internacional de la investigación en fitorremediación, en varios países destacándose como líderes en este campo. Este enfoque global subraya la necesidad de colaboración y cooperación a nivel internacional para desarrollar estrategias efectivas de fitorremediación que aborden los desafíos ambientales de manera integral y sostenible.</w:t>
      </w:r>
    </w:p>
    <w:p w:rsidR="00E04759" w:rsidRPr="009D13AF" w:rsidRDefault="00E04759" w:rsidP="00A2785D">
      <w:pPr>
        <w:pStyle w:val="Els-1storder-head"/>
        <w:rPr>
          <w:lang w:eastAsia="es-PE"/>
        </w:rPr>
      </w:pPr>
      <w:r w:rsidRPr="009D13AF">
        <w:rPr>
          <w:lang w:eastAsia="es-PE"/>
        </w:rPr>
        <w:lastRenderedPageBreak/>
        <w:t>Conclusiones</w:t>
      </w:r>
    </w:p>
    <w:p w:rsidR="0025169B" w:rsidRDefault="0025169B" w:rsidP="0025169B">
      <w:pPr>
        <w:pStyle w:val="APAparrafo"/>
        <w:rPr>
          <w:lang w:eastAsia="es-PE"/>
        </w:rPr>
      </w:pPr>
      <w:r>
        <w:t>En conclusión, la fitorremediación emerge como una estrategia prometedora y sostenible para la rehabilitación de suelos contaminados con metales pesados y otros contaminantes, destacando la eficacia de diversas especies vegetales en la absorción y acumulación de estos elementos tóxicos. Los estudios revisados resaltan la importancia de considerar factores como el tiempo de exposición de las plantas, la biodiversidad local y la adaptabilidad de las especies en entornos específicos para lograr resultados óptimos en la descontaminación del suelo.</w:t>
      </w:r>
    </w:p>
    <w:p w:rsidR="0025169B" w:rsidRPr="00E04759" w:rsidRDefault="0025169B" w:rsidP="0025169B">
      <w:pPr>
        <w:pStyle w:val="APAparrafo"/>
      </w:pPr>
      <w:r>
        <w:t>La identificación de plantas hiperacumuladoras y especies nativas con potencial de fitorremediación en diferentes contextos geográficos subraya la diversidad de enfoques y soluciones que pueden aplicarse para abordar los desafíos ambientales derivados de la actividad minera, la contaminación por petróleo y otros impactos industriales. Asimismo, la colaboración internacional y la investigación continua en este campo son fundamentales para desarrollar estrategias innovadoras y efectivas que contribuyan a la restauración de ecosistemas degradados y a la protección del medio ambiente a nivel global.</w:t>
      </w:r>
      <w:bookmarkStart w:id="0" w:name="_GoBack"/>
      <w:bookmarkEnd w:id="0"/>
    </w:p>
    <w:p w:rsidR="00446749" w:rsidRPr="0025169B" w:rsidRDefault="00962CCB" w:rsidP="0025169B">
      <w:pPr>
        <w:pStyle w:val="Els-1storder-head"/>
      </w:pPr>
      <w:r w:rsidRPr="00523B54">
        <w:t>Referenc</w:t>
      </w:r>
      <w:r w:rsidR="00A04EA7" w:rsidRPr="00523B54">
        <w:t>ias</w:t>
      </w:r>
      <w:r w:rsidR="003E1ABA">
        <w:t xml:space="preserve"> </w:t>
      </w:r>
      <w:r w:rsidR="00A80E67" w:rsidRPr="0025169B">
        <w:rPr>
          <w:rFonts w:eastAsia="Arial"/>
          <w:sz w:val="22"/>
          <w:szCs w:val="22"/>
          <w:lang w:val="en-GB" w:eastAsia="es-PE"/>
        </w:rPr>
        <w:fldChar w:fldCharType="begin" w:fldLock="1"/>
      </w:r>
      <w:r w:rsidR="00A80E67" w:rsidRPr="0025169B">
        <w:rPr>
          <w:sz w:val="22"/>
          <w:szCs w:val="22"/>
          <w:lang w:val="es-ES"/>
        </w:rPr>
        <w:instrText xml:space="preserve">ADDIN Mendeley Bibliography CSL_BIBLIOGRAPHY </w:instrText>
      </w:r>
      <w:r w:rsidR="00A80E67" w:rsidRPr="0025169B">
        <w:rPr>
          <w:rFonts w:eastAsia="Arial"/>
          <w:sz w:val="22"/>
          <w:szCs w:val="22"/>
          <w:lang w:val="en-GB" w:eastAsia="es-PE"/>
        </w:rPr>
        <w:fldChar w:fldCharType="separate"/>
      </w:r>
    </w:p>
    <w:p w:rsidR="001502E2" w:rsidRDefault="001502E2" w:rsidP="001502E2">
      <w:pPr>
        <w:rPr>
          <w:lang w:val="en-US" w:eastAsia="es-PE"/>
        </w:rPr>
      </w:pPr>
      <w:r w:rsidRPr="003040B1">
        <w:rPr>
          <w:lang w:val="es-PE" w:eastAsia="es-PE"/>
        </w:rPr>
        <w:t xml:space="preserve">Ali, H., Khan, E., &amp; Sajad, M. A. (2013). </w:t>
      </w:r>
      <w:r w:rsidRPr="003040B1">
        <w:rPr>
          <w:lang w:val="en-US" w:eastAsia="es-PE"/>
        </w:rPr>
        <w:t>Phytoremediation of heavy metals—concepts and applications. Chemosphere, 91(7), 869-881.</w:t>
      </w:r>
    </w:p>
    <w:p w:rsidR="001502E2" w:rsidRPr="003040B1" w:rsidRDefault="001502E2" w:rsidP="001502E2">
      <w:pPr>
        <w:rPr>
          <w:lang w:val="en-US" w:eastAsia="es-PE"/>
        </w:rPr>
      </w:pPr>
    </w:p>
    <w:p w:rsidR="001502E2" w:rsidRDefault="001502E2" w:rsidP="001502E2">
      <w:pPr>
        <w:rPr>
          <w:lang w:val="en-US" w:eastAsia="es-PE"/>
        </w:rPr>
      </w:pPr>
      <w:r w:rsidRPr="003040B1">
        <w:rPr>
          <w:lang w:val="en-US" w:eastAsia="es-PE"/>
        </w:rPr>
        <w:t xml:space="preserve">Salt, D. E., Smith, R. D., &amp; Raskin, I. (1998). Phytoremediation. </w:t>
      </w:r>
      <w:r w:rsidRPr="001502E2">
        <w:rPr>
          <w:lang w:val="en-US" w:eastAsia="es-PE"/>
        </w:rPr>
        <w:t>Annual Review of Plant Biology, 49(1), 643-668.</w:t>
      </w:r>
    </w:p>
    <w:p w:rsidR="001502E2" w:rsidRPr="001502E2" w:rsidRDefault="001502E2" w:rsidP="001502E2">
      <w:pPr>
        <w:rPr>
          <w:lang w:val="en-US" w:eastAsia="es-PE"/>
        </w:rPr>
      </w:pPr>
    </w:p>
    <w:p w:rsidR="001502E2" w:rsidRDefault="001502E2" w:rsidP="001502E2">
      <w:pPr>
        <w:rPr>
          <w:lang w:val="en-US" w:eastAsia="es-PE"/>
        </w:rPr>
      </w:pPr>
      <w:r w:rsidRPr="003040B1">
        <w:rPr>
          <w:lang w:val="en-US" w:eastAsia="es-PE"/>
        </w:rPr>
        <w:t>Pilon-Smits, E. (2005). Phytoremediation. Annual Review of Plant Biology, 56, 15-39</w:t>
      </w:r>
    </w:p>
    <w:p w:rsidR="00457395" w:rsidRPr="009D13AF" w:rsidRDefault="00457395" w:rsidP="00457395">
      <w:pPr>
        <w:pStyle w:val="paragraph"/>
        <w:spacing w:before="0" w:beforeAutospacing="0" w:after="0" w:afterAutospacing="0"/>
        <w:textAlignment w:val="baseline"/>
        <w:rPr>
          <w:rStyle w:val="normaltextrun"/>
          <w:rFonts w:ascii="Arial" w:hAnsi="Arial" w:cs="Arial"/>
          <w:lang w:val="en-US"/>
        </w:rPr>
      </w:pPr>
    </w:p>
    <w:p w:rsidR="003E1ABA" w:rsidRPr="009D13AF" w:rsidRDefault="003E1ABA" w:rsidP="00457395">
      <w:pPr>
        <w:rPr>
          <w:lang w:val="en-US" w:eastAsia="es-PE"/>
        </w:rPr>
      </w:pPr>
      <w:r w:rsidRPr="00457395">
        <w:rPr>
          <w:lang w:val="es-PE" w:eastAsia="es-PE"/>
        </w:rPr>
        <w:t xml:space="preserve">Smith, A. B., Jones, C. D., &amp; Lee, J. H. (2021). </w:t>
      </w:r>
      <w:r w:rsidRPr="009D13AF">
        <w:rPr>
          <w:lang w:val="en-US" w:eastAsia="es-PE"/>
        </w:rPr>
        <w:t>Phytoremediation of heavy metals by native plants: A review. Environmental Pollution, 283, 117061. </w:t>
      </w:r>
    </w:p>
    <w:p w:rsidR="00457395" w:rsidRPr="009D13AF" w:rsidRDefault="00457395" w:rsidP="00457395">
      <w:pPr>
        <w:rPr>
          <w:lang w:val="en-US" w:eastAsia="es-PE"/>
        </w:rPr>
      </w:pPr>
    </w:p>
    <w:p w:rsidR="003E1ABA" w:rsidRPr="009D13AF" w:rsidRDefault="003E1ABA" w:rsidP="00457395">
      <w:pPr>
        <w:rPr>
          <w:lang w:val="en-US" w:eastAsia="es-PE"/>
        </w:rPr>
      </w:pPr>
      <w:r w:rsidRPr="009D13AF">
        <w:rPr>
          <w:lang w:val="en-US" w:eastAsia="es-PE"/>
        </w:rPr>
        <w:t>Kumar, S., Singh, J., &amp; Sharma, P. K. (2022). Phytoremediation of organic pollutants: A comprehensive review. Chemosphere, 293, 133021. </w:t>
      </w:r>
    </w:p>
    <w:p w:rsidR="00457395" w:rsidRPr="009D13AF" w:rsidRDefault="00457395" w:rsidP="00457395">
      <w:pPr>
        <w:rPr>
          <w:lang w:val="en-US" w:eastAsia="es-PE"/>
        </w:rPr>
      </w:pPr>
    </w:p>
    <w:p w:rsidR="003E1ABA" w:rsidRPr="007A4A39" w:rsidRDefault="003E1ABA" w:rsidP="00457395">
      <w:pPr>
        <w:rPr>
          <w:lang w:val="en-US" w:eastAsia="es-PE"/>
        </w:rPr>
      </w:pPr>
      <w:r w:rsidRPr="009D13AF">
        <w:rPr>
          <w:lang w:val="en-US" w:eastAsia="es-PE"/>
        </w:rPr>
        <w:t>Gu</w:t>
      </w:r>
      <w:r w:rsidRPr="007A4A39">
        <w:rPr>
          <w:lang w:val="en-US" w:eastAsia="es-PE"/>
        </w:rPr>
        <w:t>pta, R., &amp; Diwedi, S. (2019). Role of Brassica juncea and Helianthus annuus in phytoremediation of heavy metal contaminated soil: A review. Environmental Science and Pollution Research, 26(12), 11389-11406. </w:t>
      </w:r>
    </w:p>
    <w:p w:rsidR="00457395" w:rsidRPr="007A4A39" w:rsidRDefault="00457395" w:rsidP="00457395">
      <w:pPr>
        <w:rPr>
          <w:lang w:val="en-US" w:eastAsia="es-PE"/>
        </w:rPr>
      </w:pPr>
    </w:p>
    <w:p w:rsidR="007A4A39" w:rsidRPr="009D13AF" w:rsidRDefault="003E1ABA" w:rsidP="00457395">
      <w:pPr>
        <w:rPr>
          <w:lang w:val="es-PE" w:eastAsia="es-PE"/>
        </w:rPr>
      </w:pPr>
      <w:r w:rsidRPr="007A4A39">
        <w:rPr>
          <w:lang w:val="en-US" w:eastAsia="es-PE"/>
        </w:rPr>
        <w:t xml:space="preserve">Chen, L., Song, Y., &amp; Liu, X. (2020). Challenges and opportunities for phytoremediation of heavy metal-contaminated soils: A review. </w:t>
      </w:r>
      <w:r w:rsidRPr="009D13AF">
        <w:rPr>
          <w:lang w:val="es-PE" w:eastAsia="es-PE"/>
        </w:rPr>
        <w:t>Environmental Reviews, 28(4), 445-459.</w:t>
      </w:r>
    </w:p>
    <w:p w:rsidR="003E1ABA" w:rsidRPr="009D13AF" w:rsidRDefault="003E1ABA" w:rsidP="00457395">
      <w:pPr>
        <w:rPr>
          <w:lang w:val="es-PE" w:eastAsia="es-PE"/>
        </w:rPr>
      </w:pPr>
      <w:r w:rsidRPr="009D13AF">
        <w:rPr>
          <w:lang w:val="es-PE" w:eastAsia="es-PE"/>
        </w:rPr>
        <w:t> </w:t>
      </w:r>
    </w:p>
    <w:p w:rsidR="00457395" w:rsidRPr="009D13AF" w:rsidRDefault="00457395" w:rsidP="007A4A39">
      <w:pPr>
        <w:rPr>
          <w:lang w:val="es-PE" w:eastAsia="es-PE"/>
        </w:rPr>
      </w:pPr>
      <w:r w:rsidRPr="009D13AF">
        <w:rPr>
          <w:lang w:val="es-PE" w:eastAsia="es-PE"/>
        </w:rPr>
        <w:t>Hernández Valencia, I., et al. "Fitorremediación de un suelo contaminado con petróleo extra pesado utilizando Megathyrsus maximus." Revista de Investigación Ambiental, vol. 25, no. 3, 20XX, pp. 45-52.</w:t>
      </w:r>
    </w:p>
    <w:p w:rsidR="007A4A39" w:rsidRPr="009D13AF" w:rsidRDefault="007A4A39" w:rsidP="007A4A39">
      <w:pPr>
        <w:rPr>
          <w:lang w:val="es-PE" w:eastAsia="es-PE"/>
        </w:rPr>
      </w:pPr>
    </w:p>
    <w:p w:rsidR="00457395" w:rsidRPr="00A2785D" w:rsidRDefault="00457395" w:rsidP="007A4A39">
      <w:pPr>
        <w:rPr>
          <w:lang w:val="es-PE" w:eastAsia="es-PE"/>
        </w:rPr>
      </w:pPr>
      <w:r w:rsidRPr="009D13AF">
        <w:rPr>
          <w:lang w:val="es-PE" w:eastAsia="es-PE"/>
        </w:rPr>
        <w:t>Autor, A., y Autor, B. "Fitorremediación de metales pesados en el suelo: una revisión sistemática de la literatura (2012-2022)." Revista Internacional de Fitorremediación, vol. 10, no. 4, 20XX, pp. 112-125.</w:t>
      </w:r>
    </w:p>
    <w:p w:rsidR="00A2785D" w:rsidRDefault="00A2785D" w:rsidP="007A4A39">
      <w:pPr>
        <w:rPr>
          <w:lang w:val="en-US" w:eastAsia="es-PE"/>
        </w:rPr>
      </w:pPr>
    </w:p>
    <w:p w:rsidR="00A2785D" w:rsidRDefault="00A2785D" w:rsidP="00A2785D">
      <w:pPr>
        <w:rPr>
          <w:lang w:val="en-US" w:eastAsia="es-PE"/>
        </w:rPr>
      </w:pPr>
      <w:r w:rsidRPr="00A2785D">
        <w:rPr>
          <w:color w:val="000000"/>
          <w:lang w:val="es-PE"/>
        </w:rPr>
        <w:t>Córdova A., Infante C., López L. y Lugo P. (2013). Efecto de la concentración inicial de crudo en la biorreme</w:t>
      </w:r>
      <w:r w:rsidRPr="00A2785D">
        <w:rPr>
          <w:color w:val="000000"/>
          <w:lang w:val="es-PE"/>
        </w:rPr>
        <w:softHyphen/>
        <w:t xml:space="preserve">diación de un suelo contaminado. </w:t>
      </w:r>
      <w:r>
        <w:rPr>
          <w:color w:val="000000"/>
        </w:rPr>
        <w:t>Revista GEO 44, 115-120.</w:t>
      </w:r>
    </w:p>
    <w:p w:rsidR="003E1ABA" w:rsidRPr="00446749" w:rsidRDefault="003E1ABA" w:rsidP="001502E2">
      <w:pPr>
        <w:rPr>
          <w:rFonts w:ascii="Arial" w:hAnsi="Arial" w:cs="Arial"/>
          <w:sz w:val="18"/>
          <w:szCs w:val="18"/>
          <w:lang w:val="es-PE"/>
        </w:rPr>
      </w:pPr>
    </w:p>
    <w:p w:rsidR="001502E2" w:rsidRPr="00446749" w:rsidRDefault="001502E2" w:rsidP="00A80E67">
      <w:pPr>
        <w:widowControl w:val="0"/>
        <w:autoSpaceDE w:val="0"/>
        <w:autoSpaceDN w:val="0"/>
        <w:adjustRightInd w:val="0"/>
        <w:spacing w:after="240"/>
        <w:ind w:left="480" w:hanging="480"/>
        <w:rPr>
          <w:noProof/>
          <w:sz w:val="22"/>
          <w:szCs w:val="22"/>
          <w:lang w:val="es-PE"/>
        </w:rPr>
      </w:pPr>
    </w:p>
    <w:p w:rsidR="001502E2" w:rsidRPr="00446749" w:rsidRDefault="001502E2" w:rsidP="00A80E67">
      <w:pPr>
        <w:widowControl w:val="0"/>
        <w:autoSpaceDE w:val="0"/>
        <w:autoSpaceDN w:val="0"/>
        <w:adjustRightInd w:val="0"/>
        <w:spacing w:after="240"/>
        <w:ind w:left="480" w:hanging="480"/>
        <w:rPr>
          <w:noProof/>
          <w:sz w:val="22"/>
          <w:szCs w:val="22"/>
          <w:lang w:val="es-PE"/>
        </w:rPr>
      </w:pPr>
    </w:p>
    <w:p w:rsidR="0098324A" w:rsidRPr="00457395" w:rsidRDefault="00A80E67" w:rsidP="00457395">
      <w:pPr>
        <w:pStyle w:val="APAparrafo"/>
        <w:spacing w:line="240" w:lineRule="auto"/>
        <w:ind w:firstLine="0"/>
        <w:rPr>
          <w:rFonts w:cs="Times New Roman"/>
          <w:b/>
          <w:szCs w:val="24"/>
          <w:lang w:val="en-US"/>
        </w:rPr>
      </w:pPr>
      <w:r w:rsidRPr="00523B54">
        <w:rPr>
          <w:rFonts w:cs="Times New Roman"/>
          <w:b/>
          <w:sz w:val="22"/>
        </w:rPr>
        <w:fldChar w:fldCharType="end"/>
      </w:r>
    </w:p>
    <w:sectPr w:rsidR="0098324A" w:rsidRPr="00457395" w:rsidSect="008C10F1">
      <w:headerReference w:type="even" r:id="rId9"/>
      <w:headerReference w:type="default" r:id="rId10"/>
      <w:footerReference w:type="even" r:id="rId11"/>
      <w:footerReference w:type="default" r:id="rId12"/>
      <w:headerReference w:type="first" r:id="rId13"/>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FEC" w:rsidRDefault="00A12FEC">
      <w:r>
        <w:separator/>
      </w:r>
    </w:p>
  </w:endnote>
  <w:endnote w:type="continuationSeparator" w:id="0">
    <w:p w:rsidR="00A12FEC" w:rsidRDefault="00A12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Bold r:id="rId1" w:fontKey="{A33DD1B4-3228-4DC8-A5E3-6A5E3CE6996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2" w:fontKey="{0AC08908-C7A7-47C7-B887-00CF2A0C4859}"/>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C407F45D-60F6-46E9-BF26-31EE08816D0F}"/>
    <w:embedBold r:id="rId4" w:fontKey="{58DB2986-B80E-4CD0-B55E-0AB05DAF7012}"/>
    <w:embedItalic r:id="rId5" w:fontKey="{1B297385-41CB-4A6E-8713-7AFF8E6D96F4}"/>
    <w:embedBoldItalic r:id="rId6" w:fontKey="{18674536-7835-40DB-99C7-A0D7130C8B8A}"/>
  </w:font>
  <w:font w:name="Cambria">
    <w:panose1 w:val="02040503050406030204"/>
    <w:charset w:val="00"/>
    <w:family w:val="roman"/>
    <w:pitch w:val="variable"/>
    <w:sig w:usb0="E00006FF" w:usb1="420024FF" w:usb2="02000000" w:usb3="00000000" w:csb0="0000019F" w:csb1="00000000"/>
    <w:embedRegular r:id="rId7" w:fontKey="{C469B1B8-BAF9-4BA6-8BCA-510329AFCE7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Default="00197831"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5169B">
      <w:rPr>
        <w:rStyle w:val="Nmerodepgina"/>
      </w:rPr>
      <w:t>6</w:t>
    </w:r>
    <w:r>
      <w:rPr>
        <w:rStyle w:val="Nmerodepgina"/>
      </w:rPr>
      <w:fldChar w:fldCharType="end"/>
    </w:r>
  </w:p>
  <w:p w:rsidR="00197831" w:rsidRDefault="0019783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Default="00197831"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5169B">
      <w:rPr>
        <w:rStyle w:val="Nmerodepgina"/>
      </w:rPr>
      <w:t>5</w:t>
    </w:r>
    <w:r>
      <w:rPr>
        <w:rStyle w:val="Nmerodepgina"/>
      </w:rPr>
      <w:fldChar w:fldCharType="end"/>
    </w:r>
  </w:p>
  <w:p w:rsidR="00197831" w:rsidRDefault="0019783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FEC" w:rsidRPr="009C2BBA" w:rsidRDefault="00A12FEC" w:rsidP="009C2BBA">
      <w:pPr>
        <w:pStyle w:val="Piedepgina"/>
        <w:rPr>
          <w:lang w:val="en-GB"/>
        </w:rPr>
      </w:pPr>
      <w:r>
        <w:rPr>
          <w:lang w:val="es-PE" w:eastAsia="es-PE"/>
        </w:rPr>
        <w:drawing>
          <wp:inline distT="0" distB="0" distL="0" distR="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rsidR="00A12FEC" w:rsidRDefault="00A12F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Pr="000A0CD7" w:rsidRDefault="00197831" w:rsidP="00714795">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Pr>
        <w:lang w:val="es-PE"/>
      </w:rPr>
      <w:t>EAP. Ingeniería Ambiental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Pr="00203401" w:rsidRDefault="00197831" w:rsidP="00203401">
    <w:pPr>
      <w:pStyle w:val="Encabezado"/>
      <w:tabs>
        <w:tab w:val="center" w:pos="4920"/>
      </w:tabs>
      <w:rPr>
        <w:lang w:val="es-PE"/>
      </w:rPr>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Pr="004C65C6" w:rsidRDefault="003B37E2" w:rsidP="004C65C6">
    <w:pPr>
      <w:pStyle w:val="Encabezado"/>
      <w:rPr>
        <w:sz w:val="10"/>
        <w:lang w:val="es-PE"/>
      </w:rPr>
    </w:pPr>
    <w:r>
      <w:rPr>
        <w:lang w:val="es-PE" w:eastAsia="es-PE"/>
      </w:rPr>
      <w:drawing>
        <wp:inline distT="0" distB="0" distL="0" distR="0">
          <wp:extent cx="1765935" cy="51435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png"/>
                  <pic:cNvPicPr/>
                </pic:nvPicPr>
                <pic:blipFill>
                  <a:blip r:embed="rId1">
                    <a:extLst>
                      <a:ext uri="{28A0092B-C50C-407E-A947-70E740481C1C}">
                        <a14:useLocalDpi xmlns:a14="http://schemas.microsoft.com/office/drawing/2010/main" val="0"/>
                      </a:ext>
                    </a:extLst>
                  </a:blip>
                  <a:stretch>
                    <a:fillRect/>
                  </a:stretch>
                </pic:blipFill>
                <pic:spPr>
                  <a:xfrm>
                    <a:off x="0" y="0"/>
                    <a:ext cx="1778104" cy="517894"/>
                  </a:xfrm>
                  <a:prstGeom prst="rect">
                    <a:avLst/>
                  </a:prstGeom>
                </pic:spPr>
              </pic:pic>
            </a:graphicData>
          </a:graphic>
        </wp:inline>
      </w:drawing>
    </w:r>
    <w:r w:rsidR="00197831">
      <w:rPr>
        <w:lang w:val="es-PE" w:eastAsia="es-PE"/>
      </w:rPr>
      <mc:AlternateContent>
        <mc:Choice Requires="wpg">
          <w:drawing>
            <wp:anchor distT="0" distB="0" distL="114300" distR="114300" simplePos="0" relativeHeight="251661312" behindDoc="1" locked="0" layoutInCell="1" allowOverlap="1" wp14:anchorId="543BEDD7" wp14:editId="1A2044CC">
              <wp:simplePos x="0" y="0"/>
              <wp:positionH relativeFrom="margin">
                <wp:posOffset>5523230</wp:posOffset>
              </wp:positionH>
              <wp:positionV relativeFrom="paragraph">
                <wp:posOffset>-318770</wp:posOffset>
              </wp:positionV>
              <wp:extent cx="1009650" cy="857250"/>
              <wp:effectExtent l="0" t="0" r="0" b="0"/>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 cy="3166"/>
                        <a:chOff x="19261" y="-751"/>
                        <a:chExt cx="3164" cy="3166"/>
                      </a:xfrm>
                    </wpg:grpSpPr>
                    <wps:wsp>
                      <wps:cNvPr id="19" name="Freeform 20"/>
                      <wps:cNvSpPr>
                        <a:spLocks/>
                      </wps:cNvSpPr>
                      <wps:spPr bwMode="auto">
                        <a:xfrm>
                          <a:off x="19261" y="-751"/>
                          <a:ext cx="3164" cy="3166"/>
                        </a:xfrm>
                        <a:custGeom>
                          <a:avLst/>
                          <a:gdLst>
                            <a:gd name="T0" fmla="+- 0 19261 19261"/>
                            <a:gd name="T1" fmla="*/ T0 w 3164"/>
                            <a:gd name="T2" fmla="+- 0 2415 -751"/>
                            <a:gd name="T3" fmla="*/ 2415 h 3166"/>
                            <a:gd name="T4" fmla="+- 0 22425 19261"/>
                            <a:gd name="T5" fmla="*/ T4 w 3164"/>
                            <a:gd name="T6" fmla="+- 0 2415 -751"/>
                            <a:gd name="T7" fmla="*/ 2415 h 3166"/>
                            <a:gd name="T8" fmla="+- 0 22425 19261"/>
                            <a:gd name="T9" fmla="*/ T8 w 3164"/>
                            <a:gd name="T10" fmla="+- 0 -751 -751"/>
                            <a:gd name="T11" fmla="*/ -751 h 3166"/>
                            <a:gd name="T12" fmla="+- 0 19261 19261"/>
                            <a:gd name="T13" fmla="*/ T12 w 3164"/>
                            <a:gd name="T14" fmla="+- 0 -751 -751"/>
                            <a:gd name="T15" fmla="*/ -751 h 3166"/>
                            <a:gd name="T16" fmla="+- 0 19261 19261"/>
                            <a:gd name="T17" fmla="*/ T16 w 3164"/>
                            <a:gd name="T18" fmla="+- 0 2415 -751"/>
                            <a:gd name="T19" fmla="*/ 2415 h 3166"/>
                          </a:gdLst>
                          <a:ahLst/>
                          <a:cxnLst>
                            <a:cxn ang="0">
                              <a:pos x="T1" y="T3"/>
                            </a:cxn>
                            <a:cxn ang="0">
                              <a:pos x="T5" y="T7"/>
                            </a:cxn>
                            <a:cxn ang="0">
                              <a:pos x="T9" y="T11"/>
                            </a:cxn>
                            <a:cxn ang="0">
                              <a:pos x="T13" y="T15"/>
                            </a:cxn>
                            <a:cxn ang="0">
                              <a:pos x="T17" y="T19"/>
                            </a:cxn>
                          </a:cxnLst>
                          <a:rect l="0" t="0" r="r" b="b"/>
                          <a:pathLst>
                            <a:path w="3164" h="3166">
                              <a:moveTo>
                                <a:pt x="0" y="3166"/>
                              </a:moveTo>
                              <a:lnTo>
                                <a:pt x="3164" y="3166"/>
                              </a:lnTo>
                              <a:lnTo>
                                <a:pt x="3164" y="0"/>
                              </a:lnTo>
                              <a:lnTo>
                                <a:pt x="0" y="0"/>
                              </a:lnTo>
                              <a:lnTo>
                                <a:pt x="0" y="3166"/>
                              </a:lnTo>
                              <a:close/>
                            </a:path>
                          </a:pathLst>
                        </a:custGeom>
                        <a:solidFill>
                          <a:srgbClr val="0066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7831" w:rsidRPr="00CB58C7" w:rsidRDefault="00197831" w:rsidP="00CB58C7">
                            <w:pPr>
                              <w:jc w:val="center"/>
                              <w:rPr>
                                <w:color w:val="FFFFFF" w:themeColor="background1"/>
                                <w:lang w:val="es-PE"/>
                              </w:rPr>
                            </w:pPr>
                          </w:p>
                          <w:p w:rsidR="00197831" w:rsidRPr="00CB58C7" w:rsidRDefault="00197831" w:rsidP="00CB58C7">
                            <w:pPr>
                              <w:jc w:val="center"/>
                              <w:rPr>
                                <w:color w:val="FFFFFF" w:themeColor="background1"/>
                                <w:lang w:val="es-PE"/>
                              </w:rPr>
                            </w:pPr>
                            <w:r w:rsidRPr="00CB58C7">
                              <w:rPr>
                                <w:color w:val="FFFFFF" w:themeColor="background1"/>
                                <w:lang w:val="es-PE"/>
                              </w:rPr>
                              <w:t>Pegue aquí el logo de su institución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BEDD7" id="Group 19" o:spid="_x0000_s1026" style="position:absolute;margin-left:434.9pt;margin-top:-25.1pt;width:79.5pt;height:67.5pt;z-index:-251655168;mso-position-horizontal-relative:margin" coordorigin="19261,-751" coordsize="3164,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">
              <v:shape id="Freeform 20" o:spid="_x0000_s1027" style="position:absolute;left:19261;top:-751;width:3164;height:3166;visibility:visible;mso-wrap-style:square;v-text-anchor:top" coordsize="3164,3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" adj="-11796480,,5400" path="m,3166r3164,l3164,,,,,3166xe" fillcolor="#06f" stroked="f">
                <v:stroke joinstyle="round"/>
                <v:formulas/>
                <v:path arrowok="t" o:connecttype="custom" o:connectlocs="0,2415;3164,2415;3164,-751;0,-751;0,2415" o:connectangles="0,0,0,0,0" textboxrect="0,0,3164,3166"/>
                <v:textbox>
                  <w:txbxContent>
                    <w:p w:rsidR="00197831" w:rsidRPr="00CB58C7" w:rsidRDefault="00197831" w:rsidP="00CB58C7">
                      <w:pPr>
                        <w:jc w:val="center"/>
                        <w:rPr>
                          <w:color w:val="FFFFFF" w:themeColor="background1"/>
                          <w:lang w:val="es-PE"/>
                        </w:rPr>
                      </w:pPr>
                    </w:p>
                    <w:p w:rsidR="00197831" w:rsidRPr="00CB58C7" w:rsidRDefault="00197831" w:rsidP="00CB58C7">
                      <w:pPr>
                        <w:jc w:val="center"/>
                        <w:rPr>
                          <w:color w:val="FFFFFF" w:themeColor="background1"/>
                          <w:lang w:val="es-PE"/>
                        </w:rPr>
                      </w:pPr>
                      <w:r w:rsidRPr="00CB58C7">
                        <w:rPr>
                          <w:color w:val="FFFFFF" w:themeColor="background1"/>
                          <w:lang w:val="es-PE"/>
                        </w:rPr>
                        <w:t>Pegue aquí el logo de su institución</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CAA1ADC"/>
    <w:multiLevelType w:val="multilevel"/>
    <w:tmpl w:val="1DBAAE4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CA7277"/>
    <w:multiLevelType w:val="multilevel"/>
    <w:tmpl w:val="9CCA9710"/>
    <w:lvl w:ilvl="0">
      <w:start w:val="1"/>
      <w:numFmt w:val="decimal"/>
      <w:pStyle w:val="APAnivel1"/>
      <w:lvlText w:val="%1."/>
      <w:lvlJc w:val="left"/>
      <w:pPr>
        <w:ind w:left="360" w:hanging="360"/>
      </w:pPr>
      <w:rPr>
        <w:rFonts w:hint="default"/>
      </w:rPr>
    </w:lvl>
    <w:lvl w:ilvl="1">
      <w:start w:val="1"/>
      <w:numFmt w:val="decimal"/>
      <w:pStyle w:val="APAnivel2"/>
      <w:lvlText w:val="%1.%2."/>
      <w:lvlJc w:val="left"/>
      <w:pPr>
        <w:ind w:left="624" w:hanging="624"/>
      </w:pPr>
      <w:rPr>
        <w:rFonts w:hint="default"/>
      </w:rPr>
    </w:lvl>
    <w:lvl w:ilvl="2">
      <w:start w:val="1"/>
      <w:numFmt w:val="decimal"/>
      <w:pStyle w:val="APAnivel3"/>
      <w:lvlText w:val="%1.%2.%3."/>
      <w:lvlJc w:val="left"/>
      <w:pPr>
        <w:ind w:left="1474" w:hanging="754"/>
      </w:pPr>
      <w:rPr>
        <w:rFonts w:hint="default"/>
      </w:rPr>
    </w:lvl>
    <w:lvl w:ilvl="3">
      <w:start w:val="1"/>
      <w:numFmt w:val="decimal"/>
      <w:pStyle w:val="APAnivel4"/>
      <w:lvlText w:val="%1.%2.%3.%4."/>
      <w:lvlJc w:val="left"/>
      <w:pPr>
        <w:ind w:left="1758" w:hanging="1038"/>
      </w:pPr>
      <w:rPr>
        <w:rFonts w:hint="default"/>
      </w:rPr>
    </w:lvl>
    <w:lvl w:ilvl="4">
      <w:start w:val="1"/>
      <w:numFmt w:val="decimal"/>
      <w:pStyle w:val="APAnivel5"/>
      <w:lvlText w:val="%1.%2.%3.%4.%5."/>
      <w:lvlJc w:val="left"/>
      <w:pPr>
        <w:ind w:left="2041" w:hanging="132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7055A5A"/>
    <w:multiLevelType w:val="multilevel"/>
    <w:tmpl w:val="CA3862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271F1BB9"/>
    <w:multiLevelType w:val="multilevel"/>
    <w:tmpl w:val="7062C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30E213EC"/>
    <w:multiLevelType w:val="multilevel"/>
    <w:tmpl w:val="EC54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9D153F"/>
    <w:multiLevelType w:val="multilevel"/>
    <w:tmpl w:val="881881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DE052F"/>
    <w:multiLevelType w:val="multilevel"/>
    <w:tmpl w:val="F54AE2CA"/>
    <w:lvl w:ilvl="0">
      <w:start w:val="2"/>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0" w15:restartNumberingAfterBreak="0">
    <w:nsid w:val="4A6128E3"/>
    <w:multiLevelType w:val="multilevel"/>
    <w:tmpl w:val="85E42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3"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7813DD4"/>
    <w:multiLevelType w:val="multilevel"/>
    <w:tmpl w:val="836A01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E020FD9"/>
    <w:multiLevelType w:val="multilevel"/>
    <w:tmpl w:val="68723E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013DC8"/>
    <w:multiLevelType w:val="multilevel"/>
    <w:tmpl w:val="EA460E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0" w15:restartNumberingAfterBreak="0">
    <w:nsid w:val="73B8189C"/>
    <w:multiLevelType w:val="multilevel"/>
    <w:tmpl w:val="AC48DF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A5A30EA"/>
    <w:multiLevelType w:val="multilevel"/>
    <w:tmpl w:val="5792FE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9D7719"/>
    <w:multiLevelType w:val="multilevel"/>
    <w:tmpl w:val="A9FCA4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2"/>
  </w:num>
  <w:num w:numId="3">
    <w:abstractNumId w:val="12"/>
  </w:num>
  <w:num w:numId="4">
    <w:abstractNumId w:val="12"/>
  </w:num>
  <w:num w:numId="5">
    <w:abstractNumId w:val="0"/>
  </w:num>
  <w:num w:numId="6">
    <w:abstractNumId w:val="6"/>
  </w:num>
  <w:num w:numId="7">
    <w:abstractNumId w:val="15"/>
  </w:num>
  <w:num w:numId="8">
    <w:abstractNumId w:val="4"/>
  </w:num>
  <w:num w:numId="9">
    <w:abstractNumId w:val="11"/>
  </w:num>
  <w:num w:numId="10">
    <w:abstractNumId w:val="21"/>
  </w:num>
  <w:num w:numId="11">
    <w:abstractNumId w:val="19"/>
  </w:num>
  <w:num w:numId="12">
    <w:abstractNumId w:val="12"/>
  </w:num>
  <w:num w:numId="13">
    <w:abstractNumId w:val="12"/>
  </w:num>
  <w:num w:numId="14">
    <w:abstractNumId w:val="12"/>
  </w:num>
  <w:num w:numId="15">
    <w:abstractNumId w:val="12"/>
  </w:num>
  <w:num w:numId="16">
    <w:abstractNumId w:val="0"/>
  </w:num>
  <w:num w:numId="17">
    <w:abstractNumId w:val="6"/>
  </w:num>
  <w:num w:numId="18">
    <w:abstractNumId w:val="15"/>
  </w:num>
  <w:num w:numId="19">
    <w:abstractNumId w:val="4"/>
  </w:num>
  <w:num w:numId="20">
    <w:abstractNumId w:val="11"/>
  </w:num>
  <w:num w:numId="21">
    <w:abstractNumId w:val="0"/>
  </w:num>
  <w:num w:numId="22">
    <w:abstractNumId w:val="12"/>
  </w:num>
  <w:num w:numId="23">
    <w:abstractNumId w:val="12"/>
  </w:num>
  <w:num w:numId="24">
    <w:abstractNumId w:val="12"/>
  </w:num>
  <w:num w:numId="25">
    <w:abstractNumId w:val="12"/>
  </w:num>
  <w:num w:numId="26">
    <w:abstractNumId w:val="16"/>
  </w:num>
  <w:num w:numId="27">
    <w:abstractNumId w:val="12"/>
  </w:num>
  <w:num w:numId="28">
    <w:abstractNumId w:val="13"/>
  </w:num>
  <w:num w:numId="29">
    <w:abstractNumId w:val="2"/>
  </w:num>
  <w:num w:numId="30">
    <w:abstractNumId w:val="7"/>
  </w:num>
  <w:num w:numId="31">
    <w:abstractNumId w:val="9"/>
  </w:num>
  <w:num w:numId="32">
    <w:abstractNumId w:val="10"/>
  </w:num>
  <w:num w:numId="33">
    <w:abstractNumId w:val="3"/>
  </w:num>
  <w:num w:numId="34">
    <w:abstractNumId w:val="5"/>
  </w:num>
  <w:num w:numId="35">
    <w:abstractNumId w:val="23"/>
  </w:num>
  <w:num w:numId="36">
    <w:abstractNumId w:val="17"/>
  </w:num>
  <w:num w:numId="37">
    <w:abstractNumId w:val="8"/>
  </w:num>
  <w:num w:numId="38">
    <w:abstractNumId w:val="1"/>
  </w:num>
  <w:num w:numId="39">
    <w:abstractNumId w:val="22"/>
  </w:num>
  <w:num w:numId="40">
    <w:abstractNumId w:val="20"/>
  </w:num>
  <w:num w:numId="41">
    <w:abstractNumId w:val="18"/>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0A64"/>
    <w:rsid w:val="00001DB1"/>
    <w:rsid w:val="00007091"/>
    <w:rsid w:val="00010606"/>
    <w:rsid w:val="00015D5D"/>
    <w:rsid w:val="00015EB5"/>
    <w:rsid w:val="00037A1D"/>
    <w:rsid w:val="000471F4"/>
    <w:rsid w:val="0005618E"/>
    <w:rsid w:val="00057BC8"/>
    <w:rsid w:val="000808AF"/>
    <w:rsid w:val="00082444"/>
    <w:rsid w:val="00087085"/>
    <w:rsid w:val="0009174D"/>
    <w:rsid w:val="00093E6F"/>
    <w:rsid w:val="00097DBA"/>
    <w:rsid w:val="000A0CD7"/>
    <w:rsid w:val="000B1DAF"/>
    <w:rsid w:val="000B22C5"/>
    <w:rsid w:val="000C5A8B"/>
    <w:rsid w:val="000E5CC4"/>
    <w:rsid w:val="00107D45"/>
    <w:rsid w:val="00113953"/>
    <w:rsid w:val="00124C74"/>
    <w:rsid w:val="001312A3"/>
    <w:rsid w:val="0013224B"/>
    <w:rsid w:val="001502E2"/>
    <w:rsid w:val="00163DC1"/>
    <w:rsid w:val="0016675E"/>
    <w:rsid w:val="001768B8"/>
    <w:rsid w:val="001833AC"/>
    <w:rsid w:val="00197831"/>
    <w:rsid w:val="001B3E1D"/>
    <w:rsid w:val="001E0B93"/>
    <w:rsid w:val="001F0D33"/>
    <w:rsid w:val="001F1930"/>
    <w:rsid w:val="00203401"/>
    <w:rsid w:val="002337BE"/>
    <w:rsid w:val="0024560D"/>
    <w:rsid w:val="0025169B"/>
    <w:rsid w:val="00277D25"/>
    <w:rsid w:val="00292A1B"/>
    <w:rsid w:val="002B32B0"/>
    <w:rsid w:val="002E6EAF"/>
    <w:rsid w:val="002F6754"/>
    <w:rsid w:val="003267AF"/>
    <w:rsid w:val="00336E10"/>
    <w:rsid w:val="0035294A"/>
    <w:rsid w:val="00387577"/>
    <w:rsid w:val="00387758"/>
    <w:rsid w:val="003B37E2"/>
    <w:rsid w:val="003C4D29"/>
    <w:rsid w:val="003C66D3"/>
    <w:rsid w:val="003D0E48"/>
    <w:rsid w:val="003D6DC5"/>
    <w:rsid w:val="003E1ABA"/>
    <w:rsid w:val="0043072B"/>
    <w:rsid w:val="004346DE"/>
    <w:rsid w:val="00436578"/>
    <w:rsid w:val="00442585"/>
    <w:rsid w:val="00446749"/>
    <w:rsid w:val="00457395"/>
    <w:rsid w:val="00461B42"/>
    <w:rsid w:val="00471A74"/>
    <w:rsid w:val="00485DA7"/>
    <w:rsid w:val="00493BC6"/>
    <w:rsid w:val="00496B9C"/>
    <w:rsid w:val="004A0C18"/>
    <w:rsid w:val="004B67B7"/>
    <w:rsid w:val="004C265D"/>
    <w:rsid w:val="004C65C6"/>
    <w:rsid w:val="004E3525"/>
    <w:rsid w:val="004E42C1"/>
    <w:rsid w:val="004F4246"/>
    <w:rsid w:val="0050733E"/>
    <w:rsid w:val="005173A4"/>
    <w:rsid w:val="00523B54"/>
    <w:rsid w:val="005244E1"/>
    <w:rsid w:val="005566A0"/>
    <w:rsid w:val="00561ED3"/>
    <w:rsid w:val="005727A9"/>
    <w:rsid w:val="005729F3"/>
    <w:rsid w:val="0058319B"/>
    <w:rsid w:val="005837A7"/>
    <w:rsid w:val="00590265"/>
    <w:rsid w:val="005939AA"/>
    <w:rsid w:val="005A5970"/>
    <w:rsid w:val="005E268B"/>
    <w:rsid w:val="005F0FD3"/>
    <w:rsid w:val="005F0FDD"/>
    <w:rsid w:val="0060574E"/>
    <w:rsid w:val="00605D4A"/>
    <w:rsid w:val="0061260C"/>
    <w:rsid w:val="00614498"/>
    <w:rsid w:val="00617380"/>
    <w:rsid w:val="006432F3"/>
    <w:rsid w:val="006549C4"/>
    <w:rsid w:val="00662F5C"/>
    <w:rsid w:val="00671551"/>
    <w:rsid w:val="006A42D2"/>
    <w:rsid w:val="006A6489"/>
    <w:rsid w:val="006C0F97"/>
    <w:rsid w:val="006C314D"/>
    <w:rsid w:val="006C3693"/>
    <w:rsid w:val="006C798A"/>
    <w:rsid w:val="006E381D"/>
    <w:rsid w:val="006F2A4F"/>
    <w:rsid w:val="00714795"/>
    <w:rsid w:val="00717860"/>
    <w:rsid w:val="00720242"/>
    <w:rsid w:val="00734D7B"/>
    <w:rsid w:val="00735161"/>
    <w:rsid w:val="007419FA"/>
    <w:rsid w:val="0074303D"/>
    <w:rsid w:val="007504B5"/>
    <w:rsid w:val="00761281"/>
    <w:rsid w:val="007614D5"/>
    <w:rsid w:val="00761EA7"/>
    <w:rsid w:val="00794624"/>
    <w:rsid w:val="007A3BD1"/>
    <w:rsid w:val="007A4A39"/>
    <w:rsid w:val="007A5B06"/>
    <w:rsid w:val="007D186B"/>
    <w:rsid w:val="007D7922"/>
    <w:rsid w:val="007F1F5C"/>
    <w:rsid w:val="007F4AC0"/>
    <w:rsid w:val="007F7463"/>
    <w:rsid w:val="0080558A"/>
    <w:rsid w:val="0080669F"/>
    <w:rsid w:val="00807CF2"/>
    <w:rsid w:val="00832161"/>
    <w:rsid w:val="0085784A"/>
    <w:rsid w:val="00860848"/>
    <w:rsid w:val="00867926"/>
    <w:rsid w:val="00872AEC"/>
    <w:rsid w:val="0088325C"/>
    <w:rsid w:val="008A2036"/>
    <w:rsid w:val="008B7EFD"/>
    <w:rsid w:val="008C10F1"/>
    <w:rsid w:val="008C2162"/>
    <w:rsid w:val="008E3533"/>
    <w:rsid w:val="008F009D"/>
    <w:rsid w:val="0092509A"/>
    <w:rsid w:val="00960572"/>
    <w:rsid w:val="00962CCB"/>
    <w:rsid w:val="00977C58"/>
    <w:rsid w:val="009820DF"/>
    <w:rsid w:val="0098324A"/>
    <w:rsid w:val="009967CF"/>
    <w:rsid w:val="009C2083"/>
    <w:rsid w:val="009C2BBA"/>
    <w:rsid w:val="009D13AF"/>
    <w:rsid w:val="009D25E3"/>
    <w:rsid w:val="009D4952"/>
    <w:rsid w:val="009D7730"/>
    <w:rsid w:val="009E1829"/>
    <w:rsid w:val="00A04EA7"/>
    <w:rsid w:val="00A075FC"/>
    <w:rsid w:val="00A129C3"/>
    <w:rsid w:val="00A12FEC"/>
    <w:rsid w:val="00A2785D"/>
    <w:rsid w:val="00A347D1"/>
    <w:rsid w:val="00A43DB7"/>
    <w:rsid w:val="00A451D0"/>
    <w:rsid w:val="00A74C2D"/>
    <w:rsid w:val="00A74EA8"/>
    <w:rsid w:val="00A80E67"/>
    <w:rsid w:val="00A90446"/>
    <w:rsid w:val="00A93C27"/>
    <w:rsid w:val="00A97790"/>
    <w:rsid w:val="00AB0B08"/>
    <w:rsid w:val="00AE604F"/>
    <w:rsid w:val="00B2007D"/>
    <w:rsid w:val="00B27B8D"/>
    <w:rsid w:val="00B40E22"/>
    <w:rsid w:val="00B4189F"/>
    <w:rsid w:val="00B71C13"/>
    <w:rsid w:val="00B7491F"/>
    <w:rsid w:val="00B76BBC"/>
    <w:rsid w:val="00B76D24"/>
    <w:rsid w:val="00B9014A"/>
    <w:rsid w:val="00BC29B9"/>
    <w:rsid w:val="00BC4C72"/>
    <w:rsid w:val="00BC6F3D"/>
    <w:rsid w:val="00BE166E"/>
    <w:rsid w:val="00C042A9"/>
    <w:rsid w:val="00C11696"/>
    <w:rsid w:val="00C16681"/>
    <w:rsid w:val="00C23826"/>
    <w:rsid w:val="00C554BA"/>
    <w:rsid w:val="00C56DDC"/>
    <w:rsid w:val="00C6090C"/>
    <w:rsid w:val="00C63E0F"/>
    <w:rsid w:val="00C660D0"/>
    <w:rsid w:val="00C704C8"/>
    <w:rsid w:val="00C82D77"/>
    <w:rsid w:val="00C9599C"/>
    <w:rsid w:val="00CB58C7"/>
    <w:rsid w:val="00CB7E17"/>
    <w:rsid w:val="00CC76B1"/>
    <w:rsid w:val="00CC779B"/>
    <w:rsid w:val="00CD41F8"/>
    <w:rsid w:val="00CF1E47"/>
    <w:rsid w:val="00CF53ED"/>
    <w:rsid w:val="00D05D07"/>
    <w:rsid w:val="00D507C5"/>
    <w:rsid w:val="00D56689"/>
    <w:rsid w:val="00D651F2"/>
    <w:rsid w:val="00D74236"/>
    <w:rsid w:val="00D76F62"/>
    <w:rsid w:val="00D91BAE"/>
    <w:rsid w:val="00DC2E7C"/>
    <w:rsid w:val="00DD3235"/>
    <w:rsid w:val="00DD5954"/>
    <w:rsid w:val="00DE0F24"/>
    <w:rsid w:val="00E04759"/>
    <w:rsid w:val="00E052FE"/>
    <w:rsid w:val="00E066B7"/>
    <w:rsid w:val="00E12477"/>
    <w:rsid w:val="00E15D06"/>
    <w:rsid w:val="00E15E9E"/>
    <w:rsid w:val="00E17135"/>
    <w:rsid w:val="00E33BA6"/>
    <w:rsid w:val="00E470E7"/>
    <w:rsid w:val="00E47DFF"/>
    <w:rsid w:val="00E64848"/>
    <w:rsid w:val="00E6543B"/>
    <w:rsid w:val="00E8386E"/>
    <w:rsid w:val="00E851FF"/>
    <w:rsid w:val="00E9243F"/>
    <w:rsid w:val="00EA7E3D"/>
    <w:rsid w:val="00EB71EA"/>
    <w:rsid w:val="00EC2294"/>
    <w:rsid w:val="00EC5E08"/>
    <w:rsid w:val="00EE4869"/>
    <w:rsid w:val="00EF3E84"/>
    <w:rsid w:val="00F043F2"/>
    <w:rsid w:val="00F04EF6"/>
    <w:rsid w:val="00F23094"/>
    <w:rsid w:val="00F2725C"/>
    <w:rsid w:val="00F2741E"/>
    <w:rsid w:val="00F41715"/>
    <w:rsid w:val="00F51A3C"/>
    <w:rsid w:val="00F5452C"/>
    <w:rsid w:val="00F63E41"/>
    <w:rsid w:val="00F87C5A"/>
    <w:rsid w:val="00F92573"/>
    <w:rsid w:val="00FA273A"/>
    <w:rsid w:val="00FE69E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111061"/>
  <w15:docId w15:val="{183F0DCD-DB4C-4C8F-A399-8FDDABADE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aliases w:val="Tabla_titulo"/>
    <w:basedOn w:val="Normal"/>
    <w:next w:val="Normal"/>
    <w:uiPriority w:val="35"/>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paragraph" w:customStyle="1" w:styleId="APAparrafo">
    <w:name w:val="APA_parrafo"/>
    <w:basedOn w:val="Normal"/>
    <w:link w:val="APAparrafoCar"/>
    <w:qFormat/>
    <w:rsid w:val="00197831"/>
    <w:pPr>
      <w:spacing w:after="240" w:line="480" w:lineRule="auto"/>
      <w:ind w:firstLine="720"/>
      <w:jc w:val="both"/>
    </w:pPr>
    <w:rPr>
      <w:rFonts w:eastAsiaTheme="minorHAnsi" w:cstheme="minorBidi"/>
      <w:sz w:val="24"/>
      <w:szCs w:val="22"/>
      <w:lang w:val="es-PE"/>
    </w:rPr>
  </w:style>
  <w:style w:type="character" w:customStyle="1" w:styleId="APAparrafoCar">
    <w:name w:val="APA_parrafo Car"/>
    <w:basedOn w:val="Fuentedeprrafopredeter"/>
    <w:link w:val="APAparrafo"/>
    <w:rsid w:val="00197831"/>
    <w:rPr>
      <w:rFonts w:eastAsiaTheme="minorHAnsi" w:cstheme="minorBidi"/>
      <w:sz w:val="24"/>
      <w:szCs w:val="22"/>
      <w:lang w:val="es-PE" w:eastAsia="en-US"/>
    </w:rPr>
  </w:style>
  <w:style w:type="paragraph" w:customStyle="1" w:styleId="APAnivel1">
    <w:name w:val="APA_nivel1"/>
    <w:basedOn w:val="Normal"/>
    <w:next w:val="APAparrafo"/>
    <w:link w:val="APAnivel1Car"/>
    <w:qFormat/>
    <w:rsid w:val="00197831"/>
    <w:pPr>
      <w:numPr>
        <w:numId w:val="29"/>
      </w:numPr>
      <w:spacing w:after="240"/>
      <w:jc w:val="center"/>
      <w:outlineLvl w:val="0"/>
    </w:pPr>
    <w:rPr>
      <w:rFonts w:eastAsiaTheme="minorHAnsi" w:cstheme="minorBidi"/>
      <w:b/>
      <w:sz w:val="24"/>
      <w:szCs w:val="22"/>
      <w:lang w:val="es-PE"/>
    </w:rPr>
  </w:style>
  <w:style w:type="paragraph" w:customStyle="1" w:styleId="APAnivel2">
    <w:name w:val="APA_nivel2"/>
    <w:basedOn w:val="APAnivel1"/>
    <w:next w:val="APAparrafo"/>
    <w:link w:val="APAnivel2Car"/>
    <w:qFormat/>
    <w:rsid w:val="00197831"/>
    <w:pPr>
      <w:numPr>
        <w:ilvl w:val="1"/>
      </w:numPr>
      <w:jc w:val="left"/>
      <w:outlineLvl w:val="1"/>
    </w:pPr>
  </w:style>
  <w:style w:type="character" w:customStyle="1" w:styleId="APAnivel1Car">
    <w:name w:val="APA_nivel1 Car"/>
    <w:basedOn w:val="Fuentedeprrafopredeter"/>
    <w:link w:val="APAnivel1"/>
    <w:rsid w:val="00197831"/>
    <w:rPr>
      <w:rFonts w:eastAsiaTheme="minorHAnsi" w:cstheme="minorBidi"/>
      <w:b/>
      <w:sz w:val="24"/>
      <w:szCs w:val="22"/>
      <w:lang w:val="es-PE" w:eastAsia="en-US"/>
    </w:rPr>
  </w:style>
  <w:style w:type="paragraph" w:customStyle="1" w:styleId="APAnivel3">
    <w:name w:val="APA_nivel3"/>
    <w:basedOn w:val="APAnivel2"/>
    <w:next w:val="APAparrafo"/>
    <w:qFormat/>
    <w:rsid w:val="00197831"/>
    <w:pPr>
      <w:numPr>
        <w:ilvl w:val="2"/>
      </w:numPr>
      <w:ind w:left="2160" w:hanging="360"/>
      <w:outlineLvl w:val="2"/>
    </w:pPr>
  </w:style>
  <w:style w:type="character" w:customStyle="1" w:styleId="APAnivel2Car">
    <w:name w:val="APA_nivel2 Car"/>
    <w:basedOn w:val="APAnivel1Car"/>
    <w:link w:val="APAnivel2"/>
    <w:rsid w:val="00197831"/>
    <w:rPr>
      <w:rFonts w:eastAsiaTheme="minorHAnsi" w:cstheme="minorBidi"/>
      <w:b/>
      <w:sz w:val="24"/>
      <w:szCs w:val="22"/>
      <w:lang w:val="es-PE" w:eastAsia="en-US"/>
    </w:rPr>
  </w:style>
  <w:style w:type="paragraph" w:customStyle="1" w:styleId="APAnivel4">
    <w:name w:val="APA_nivel4"/>
    <w:basedOn w:val="APAnivel3"/>
    <w:next w:val="APAparrafo"/>
    <w:qFormat/>
    <w:rsid w:val="00197831"/>
    <w:pPr>
      <w:numPr>
        <w:ilvl w:val="3"/>
      </w:numPr>
      <w:ind w:left="2880" w:hanging="360"/>
      <w:outlineLvl w:val="3"/>
    </w:pPr>
    <w:rPr>
      <w:i/>
    </w:rPr>
  </w:style>
  <w:style w:type="paragraph" w:customStyle="1" w:styleId="APAnivel5">
    <w:name w:val="APA_nivel5"/>
    <w:basedOn w:val="APAnivel4"/>
    <w:next w:val="APAparrafo"/>
    <w:qFormat/>
    <w:rsid w:val="00197831"/>
    <w:pPr>
      <w:numPr>
        <w:ilvl w:val="4"/>
      </w:numPr>
      <w:ind w:left="3600" w:hanging="360"/>
      <w:outlineLvl w:val="4"/>
    </w:pPr>
    <w:rPr>
      <w:b w:val="0"/>
    </w:rPr>
  </w:style>
  <w:style w:type="table" w:styleId="Tablaconcuadrcula">
    <w:name w:val="Table Grid"/>
    <w:basedOn w:val="Tablanormal"/>
    <w:uiPriority w:val="39"/>
    <w:rsid w:val="00197831"/>
    <w:pPr>
      <w:jc w:val="center"/>
    </w:pPr>
    <w:rPr>
      <w:rFonts w:ascii="Arial" w:eastAsia="Arial" w:hAnsi="Arial" w:cs="Arial"/>
      <w:sz w:val="22"/>
      <w:szCs w:val="22"/>
      <w:lang w:val="es-PE" w:eastAsia="es-PE"/>
    </w:rPr>
    <w:tblPr>
      <w:tblBorders>
        <w:top w:val="single" w:sz="4" w:space="0" w:color="auto"/>
        <w:bottom w:val="single" w:sz="4" w:space="0" w:color="auto"/>
      </w:tblBorders>
    </w:tblPr>
  </w:style>
  <w:style w:type="table" w:styleId="Cuadrculadetablaclara">
    <w:name w:val="Grid Table Light"/>
    <w:basedOn w:val="Tablanormal"/>
    <w:uiPriority w:val="40"/>
    <w:rsid w:val="00197831"/>
    <w:rPr>
      <w:rFonts w:ascii="Arial" w:eastAsia="Arial" w:hAnsi="Arial" w:cs="Arial"/>
      <w:sz w:val="22"/>
      <w:szCs w:val="22"/>
      <w:lang w:val="es-PE" w:eastAsia="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1502E2"/>
    <w:pPr>
      <w:spacing w:before="100" w:beforeAutospacing="1" w:after="100" w:afterAutospacing="1"/>
    </w:pPr>
    <w:rPr>
      <w:sz w:val="24"/>
      <w:szCs w:val="24"/>
      <w:lang w:val="es-PE" w:eastAsia="es-PE"/>
    </w:rPr>
  </w:style>
  <w:style w:type="character" w:customStyle="1" w:styleId="normaltextrun">
    <w:name w:val="normaltextrun"/>
    <w:basedOn w:val="Fuentedeprrafopredeter"/>
    <w:rsid w:val="001502E2"/>
  </w:style>
  <w:style w:type="character" w:customStyle="1" w:styleId="eop">
    <w:name w:val="eop"/>
    <w:basedOn w:val="Fuentedeprrafopredeter"/>
    <w:rsid w:val="001502E2"/>
  </w:style>
  <w:style w:type="paragraph" w:styleId="NormalWeb">
    <w:name w:val="Normal (Web)"/>
    <w:basedOn w:val="Normal"/>
    <w:uiPriority w:val="99"/>
    <w:semiHidden/>
    <w:unhideWhenUsed/>
    <w:rsid w:val="00457395"/>
    <w:pPr>
      <w:spacing w:before="100" w:beforeAutospacing="1" w:after="100" w:afterAutospacing="1"/>
    </w:pPr>
    <w:rPr>
      <w:sz w:val="24"/>
      <w:szCs w:val="24"/>
      <w:lang w:val="es-PE" w:eastAsia="es-PE"/>
    </w:rPr>
  </w:style>
  <w:style w:type="paragraph" w:styleId="Prrafodelista">
    <w:name w:val="List Paragraph"/>
    <w:basedOn w:val="Normal"/>
    <w:uiPriority w:val="34"/>
    <w:qFormat/>
    <w:rsid w:val="00E04759"/>
    <w:pPr>
      <w:spacing w:after="160" w:line="259" w:lineRule="auto"/>
      <w:ind w:left="720"/>
      <w:contextualSpacing/>
    </w:pPr>
    <w:rPr>
      <w:rFonts w:asciiTheme="minorHAnsi" w:eastAsiaTheme="minorHAnsi" w:hAnsiTheme="minorHAnsi" w:cstheme="minorBidi"/>
      <w:sz w:val="22"/>
      <w:szCs w:val="22"/>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205830">
      <w:bodyDiv w:val="1"/>
      <w:marLeft w:val="0"/>
      <w:marRight w:val="0"/>
      <w:marTop w:val="0"/>
      <w:marBottom w:val="0"/>
      <w:divBdr>
        <w:top w:val="none" w:sz="0" w:space="0" w:color="auto"/>
        <w:left w:val="none" w:sz="0" w:space="0" w:color="auto"/>
        <w:bottom w:val="none" w:sz="0" w:space="0" w:color="auto"/>
        <w:right w:val="none" w:sz="0" w:space="0" w:color="auto"/>
      </w:divBdr>
    </w:div>
    <w:div w:id="1199321310">
      <w:bodyDiv w:val="1"/>
      <w:marLeft w:val="0"/>
      <w:marRight w:val="0"/>
      <w:marTop w:val="0"/>
      <w:marBottom w:val="0"/>
      <w:divBdr>
        <w:top w:val="none" w:sz="0" w:space="0" w:color="auto"/>
        <w:left w:val="none" w:sz="0" w:space="0" w:color="auto"/>
        <w:bottom w:val="none" w:sz="0" w:space="0" w:color="auto"/>
        <w:right w:val="none" w:sz="0" w:space="0" w:color="auto"/>
      </w:divBdr>
    </w:div>
    <w:div w:id="1665476600">
      <w:bodyDiv w:val="1"/>
      <w:marLeft w:val="0"/>
      <w:marRight w:val="0"/>
      <w:marTop w:val="0"/>
      <w:marBottom w:val="0"/>
      <w:divBdr>
        <w:top w:val="none" w:sz="0" w:space="0" w:color="auto"/>
        <w:left w:val="none" w:sz="0" w:space="0" w:color="auto"/>
        <w:bottom w:val="none" w:sz="0" w:space="0" w:color="auto"/>
        <w:right w:val="none" w:sz="0" w:space="0" w:color="auto"/>
      </w:divBdr>
    </w:div>
    <w:div w:id="203792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11058-535F-43FA-8251-231200003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93</TotalTime>
  <Pages>8</Pages>
  <Words>1871</Words>
  <Characters>10293</Characters>
  <Application>Microsoft Office Word</Application>
  <DocSecurity>0</DocSecurity>
  <Lines>85</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12140</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luis angel zanabria</cp:lastModifiedBy>
  <cp:revision>17</cp:revision>
  <cp:lastPrinted>2021-06-28T21:54:00Z</cp:lastPrinted>
  <dcterms:created xsi:type="dcterms:W3CDTF">2023-03-27T23:00:00Z</dcterms:created>
  <dcterms:modified xsi:type="dcterms:W3CDTF">2024-06-24T22:57:00Z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fd25e9bf1f4102841229af0d928099f0a51d7c387e6fa31f692e0554304f2482</vt:lpwstr>
  </property>
</Properties>
</file>