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D07" w:rsidRDefault="00D05D07" w:rsidP="00D74236">
      <w:pPr>
        <w:jc w:val="center"/>
      </w:pPr>
    </w:p>
    <w:p w:rsidR="00BB633F" w:rsidRDefault="00BB633F" w:rsidP="00BB633F">
      <w:pPr>
        <w:rPr>
          <w:b/>
          <w:sz w:val="28"/>
        </w:rPr>
      </w:pPr>
      <w:r w:rsidRPr="007E2267">
        <w:rPr>
          <w:b/>
          <w:sz w:val="28"/>
        </w:rPr>
        <w:t>Biodegradación y Biorremediación: Estrategias Microbianas para la Recuperación Ambiental</w:t>
      </w:r>
    </w:p>
    <w:p w:rsidR="00E64848" w:rsidRDefault="00E64848" w:rsidP="00D74236">
      <w:pPr>
        <w:jc w:val="center"/>
        <w:rPr>
          <w:b/>
          <w:sz w:val="28"/>
          <w:szCs w:val="32"/>
          <w:lang w:val="es-ES"/>
        </w:rPr>
      </w:pPr>
    </w:p>
    <w:p w:rsidR="00D74236" w:rsidRPr="00D74236" w:rsidRDefault="00D74236" w:rsidP="00D74236">
      <w:pPr>
        <w:jc w:val="center"/>
        <w:rPr>
          <w:b/>
          <w:sz w:val="28"/>
          <w:szCs w:val="32"/>
          <w:lang w:val="es-ES"/>
        </w:rPr>
      </w:pPr>
    </w:p>
    <w:p w:rsidR="00D05D07" w:rsidRDefault="00BB633F" w:rsidP="00D05D07">
      <w:pPr>
        <w:pStyle w:val="Els-Author"/>
        <w:keepNext w:val="0"/>
        <w:suppressAutoHyphens w:val="0"/>
        <w:rPr>
          <w:lang w:val="es-PE"/>
        </w:rPr>
      </w:pPr>
      <w:r>
        <w:rPr>
          <w:lang w:val="es-PE"/>
        </w:rPr>
        <w:t xml:space="preserve"> Fredy Ronald Cutipa Apaza,</w:t>
      </w:r>
      <w:r w:rsidR="00D74236">
        <w:rPr>
          <w:vertAlign w:val="superscript"/>
          <w:lang w:val="es-PE"/>
        </w:rPr>
        <w:t>1</w:t>
      </w:r>
      <w:r w:rsidR="00D74236">
        <w:rPr>
          <w:lang w:val="es-PE"/>
        </w:rPr>
        <w:t xml:space="preserve">, </w:t>
      </w:r>
      <w:r>
        <w:rPr>
          <w:lang w:val="es-PE"/>
        </w:rPr>
        <w:t>Jhon Erick Hancco Mamani,</w:t>
      </w:r>
      <w:r w:rsidR="001833AC">
        <w:rPr>
          <w:vertAlign w:val="superscript"/>
          <w:lang w:val="es-PE"/>
        </w:rPr>
        <w:t>1</w:t>
      </w:r>
      <w:r w:rsidR="00D74236">
        <w:rPr>
          <w:lang w:val="es-PE"/>
        </w:rPr>
        <w:t xml:space="preserve">, </w:t>
      </w:r>
      <w:r>
        <w:rPr>
          <w:lang w:val="es-PE"/>
        </w:rPr>
        <w:t>Shomara Azumi Mendosa Ccalla</w:t>
      </w:r>
      <w:r w:rsidR="00D05D07">
        <w:rPr>
          <w:vertAlign w:val="superscript"/>
          <w:lang w:val="es-PE"/>
        </w:rPr>
        <w:t>1</w:t>
      </w:r>
      <w:r w:rsidR="00561ED3">
        <w:rPr>
          <w:lang w:val="es-PE"/>
        </w:rPr>
        <w:t>.</w:t>
      </w:r>
    </w:p>
    <w:p w:rsidR="00BB633F" w:rsidRDefault="00D05D07" w:rsidP="00D05D07">
      <w:pPr>
        <w:pStyle w:val="Els-Author"/>
        <w:keepNext w:val="0"/>
        <w:suppressAutoHyphens w:val="0"/>
        <w:rPr>
          <w:lang w:val="es-PE"/>
        </w:rPr>
      </w:pPr>
      <w:r>
        <w:rPr>
          <w:vertAlign w:val="superscript"/>
          <w:lang w:val="es-PE"/>
        </w:rPr>
        <w:t>1</w:t>
      </w:r>
      <w:r w:rsidR="00717860">
        <w:rPr>
          <w:lang w:val="es-PE"/>
        </w:rPr>
        <w:t>Universidad Peruana Unión</w:t>
      </w:r>
      <w:r>
        <w:rPr>
          <w:lang w:val="es-PE"/>
        </w:rPr>
        <w:t xml:space="preserve">, </w:t>
      </w:r>
      <w:r w:rsidR="00C660D0">
        <w:rPr>
          <w:lang w:val="es-PE"/>
        </w:rPr>
        <w:t xml:space="preserve">Facultad de Ingenieria y Arquitectura, EP Ingenieria Ambiental </w:t>
      </w:r>
    </w:p>
    <w:p w:rsidR="00E64848" w:rsidRPr="00A04EA7" w:rsidRDefault="00BB633F" w:rsidP="00D05D07">
      <w:pPr>
        <w:pStyle w:val="Els-Author"/>
        <w:keepNext w:val="0"/>
        <w:suppressAutoHyphens w:val="0"/>
        <w:rPr>
          <w:lang w:val="es-PE"/>
        </w:rPr>
      </w:pPr>
      <w:r>
        <w:rPr>
          <w:lang w:val="es-PE"/>
        </w:rPr>
        <w:t>juliaca</w:t>
      </w:r>
      <w:r w:rsidR="00D05D07">
        <w:rPr>
          <w:lang w:val="es-PE"/>
        </w:rPr>
        <w:t>, Peru.</w:t>
      </w:r>
    </w:p>
    <w:p w:rsidR="005A5970" w:rsidRPr="00A04EA7" w:rsidRDefault="005A5970" w:rsidP="006549C4">
      <w:pPr>
        <w:pStyle w:val="Els-Affiliation"/>
        <w:suppressAutoHyphens w:val="0"/>
        <w:rPr>
          <w:lang w:val="es-PE"/>
        </w:rPr>
      </w:pPr>
    </w:p>
    <w:p w:rsidR="00015D5D" w:rsidRPr="00A04EA7" w:rsidRDefault="00015D5D" w:rsidP="006549C4">
      <w:pPr>
        <w:pStyle w:val="Els-Affiliation"/>
        <w:suppressAutoHyphens w:val="0"/>
        <w:rPr>
          <w:lang w:val="es-PE"/>
        </w:rPr>
      </w:pPr>
    </w:p>
    <w:p w:rsidR="00E64848" w:rsidRPr="009C5A0B" w:rsidRDefault="005A5970" w:rsidP="006549C4">
      <w:pPr>
        <w:pStyle w:val="Els-Abstract-head"/>
        <w:keepNext w:val="0"/>
        <w:suppressAutoHyphens w:val="0"/>
        <w:rPr>
          <w:sz w:val="22"/>
          <w:lang w:val="es-PE"/>
        </w:rPr>
      </w:pPr>
      <w:r w:rsidRPr="009C5A0B">
        <w:rPr>
          <w:sz w:val="22"/>
          <w:lang w:val="es-PE"/>
        </w:rPr>
        <w:t>Resumen</w:t>
      </w:r>
    </w:p>
    <w:p w:rsidR="007E148E" w:rsidRDefault="007E148E" w:rsidP="00192075">
      <w:pPr>
        <w:pStyle w:val="APAparrafo"/>
      </w:pPr>
      <w:r>
        <w:t xml:space="preserve">La contaminación ambiental, provocada por actividades humanas como la industria, la agricultura intensiva y la mala gestión de residuos, se ha convertido en un problema serio para los ecosistemas. Frente a esta situación, la biodegradación y la biorremediación se presentan como alternativas sostenibles y efectivas para reducir el impacto negativo. La </w:t>
      </w:r>
      <w:r>
        <w:rPr>
          <w:rStyle w:val="Textoennegrita"/>
        </w:rPr>
        <w:t>biodegradación</w:t>
      </w:r>
      <w:r>
        <w:t xml:space="preserve"> es un proceso en el que microorganismos, como bacterias y hongos, descomponen compuestos orgánicos complejos en sustancias más simples y menos dañinas. Este proceso natural es la base de la </w:t>
      </w:r>
      <w:r>
        <w:rPr>
          <w:rStyle w:val="Textoennegrita"/>
        </w:rPr>
        <w:t>biorremediación</w:t>
      </w:r>
      <w:r>
        <w:t>, una técnica que utiliza organismos vivos para limpiar suelos, agua o incluso el aire contaminado.</w:t>
      </w:r>
    </w:p>
    <w:p w:rsidR="007E148E" w:rsidRDefault="007E148E" w:rsidP="00192075">
      <w:pPr>
        <w:pStyle w:val="APAparrafo"/>
      </w:pPr>
      <w:r>
        <w:t xml:space="preserve">Dentro de la biorremediación existen diferentes enfoques. Por ejemplo, la </w:t>
      </w:r>
      <w:r>
        <w:rPr>
          <w:rStyle w:val="Textoennegrita"/>
        </w:rPr>
        <w:t>bioestimulación</w:t>
      </w:r>
      <w:r>
        <w:t xml:space="preserve"> busca mejorar las condiciones del entorno (como añadir nutrientes) para que los microbios que ya están presentes trabajen mejor. Otra técnica es la </w:t>
      </w:r>
      <w:r>
        <w:rPr>
          <w:rStyle w:val="Textoennegrita"/>
        </w:rPr>
        <w:t>bioaumentación</w:t>
      </w:r>
      <w:r>
        <w:t xml:space="preserve">, donde se introducen microorganismos específicos que tienen una alta capacidad para degradar ciertos contaminantes. También está la </w:t>
      </w:r>
      <w:r>
        <w:rPr>
          <w:rStyle w:val="Textoennegrita"/>
        </w:rPr>
        <w:t>fitorremediación asistida</w:t>
      </w:r>
      <w:r>
        <w:t>, que combina plantas y microorganismos para recuperar zonas contaminadas. Estas estrategias no solo son más baratas que otros métodos, sino que también son menos invasivas y más amigables con el medio ambiente.</w:t>
      </w:r>
    </w:p>
    <w:p w:rsidR="007E148E" w:rsidRDefault="007E148E" w:rsidP="00192075">
      <w:pPr>
        <w:pStyle w:val="APAparrafo"/>
      </w:pPr>
      <w:r>
        <w:t xml:space="preserve">Eso sí, su éxito depende de varios factores, como el tipo de contaminante, el lugar afectado y las especies microbianas disponibles. A pesar de los desafíos, la ciencia sigue avanzando en este campo, </w:t>
      </w:r>
      <w:r>
        <w:lastRenderedPageBreak/>
        <w:t>desarrollando nuevas cepas microbianas y mejorando la comprensión de estos procesos, lo que refuerza el potencial de la biorremediación como una solución clave para la recuperación ambiental.</w:t>
      </w:r>
    </w:p>
    <w:p w:rsidR="00DC2E7C" w:rsidRPr="001833AC" w:rsidRDefault="00DC2E7C" w:rsidP="00DC2E7C">
      <w:pPr>
        <w:jc w:val="both"/>
        <w:rPr>
          <w:lang w:val="en-US"/>
        </w:rPr>
      </w:pPr>
    </w:p>
    <w:p w:rsidR="009C5A0B" w:rsidRDefault="009C5A0B" w:rsidP="009C5A0B">
      <w:pPr>
        <w:pStyle w:val="NormalWeb"/>
      </w:pPr>
      <w:r>
        <w:rPr>
          <w:rStyle w:val="Textoennegrita"/>
        </w:rPr>
        <w:t>Abstract</w:t>
      </w:r>
    </w:p>
    <w:p w:rsidR="009C5A0B" w:rsidRDefault="009C5A0B" w:rsidP="00213FDE">
      <w:pPr>
        <w:pStyle w:val="APAparrafo"/>
      </w:pPr>
      <w:r>
        <w:t>Environmental pollution, caused by human activities such as industrialization, intensive agriculture, and poor waste management, poses a serious threat to ecosystems. In response to this issue, biodegradation and bioremediation emerge as sustainable and effective strategies for mitigating environmental damage. Biodegradation is a biological process in which microorganisms break down complex organic compounds into simpler, less harmful substances, forming the basis of bioremediation. This technique employs living organisms—mainly bacteria, fungi, and archaea—to remove or neutralize pollutants in soil, water, and air. Key approaches include biostimulation, bioaugmentation, and assisted phytoremediation, each offering specific advantages in terms of cost, environmental impact, and applicability. However, the success of these strategies depends on several factors, such as the type of contaminant, site conditions, and microbial diversity. Despite certain challenges, ongoing advances in microbiological and biotechnological research continue to enhance the potential of bioremediation as a key solution for restoring degraded environments.</w:t>
      </w:r>
    </w:p>
    <w:p w:rsidR="00DC2E7C" w:rsidRPr="00523B54" w:rsidRDefault="00DC2E7C" w:rsidP="00DC2E7C"/>
    <w:p w:rsidR="00DC2E7C" w:rsidRPr="00523B54" w:rsidRDefault="00DC2E7C" w:rsidP="00DC2E7C"/>
    <w:p w:rsidR="00DC2E7C" w:rsidRPr="00523B54" w:rsidRDefault="00DC2E7C" w:rsidP="00DC2E7C"/>
    <w:p w:rsidR="007614D5" w:rsidRPr="00523B54" w:rsidRDefault="00CC779B" w:rsidP="00442585">
      <w:pPr>
        <w:pStyle w:val="Els-body-text"/>
        <w:keepNext w:val="0"/>
        <w:jc w:val="left"/>
        <w:rPr>
          <w:lang w:eastAsia="tr-TR"/>
        </w:rPr>
      </w:pPr>
      <w:r w:rsidRPr="00523B54">
        <w:rPr>
          <w:lang w:eastAsia="tr-TR"/>
        </w:rPr>
        <w:t xml:space="preserve">  </w:t>
      </w:r>
    </w:p>
    <w:p w:rsidR="00E64848" w:rsidRPr="00523B54" w:rsidRDefault="00E64848" w:rsidP="006549C4">
      <w:pPr>
        <w:pStyle w:val="Els-Abstract-text"/>
        <w:rPr>
          <w:szCs w:val="18"/>
          <w:lang w:eastAsia="tr-TR"/>
        </w:rPr>
      </w:pPr>
    </w:p>
    <w:p w:rsidR="00A97790" w:rsidRPr="00523B54" w:rsidRDefault="007F4AC0" w:rsidP="006549C4">
      <w:pPr>
        <w:pStyle w:val="Els-keywords"/>
        <w:rPr>
          <w:lang w:val="es-PE"/>
        </w:rPr>
      </w:pPr>
      <w:r w:rsidRPr="00523B54">
        <w:rPr>
          <w:i/>
          <w:lang w:val="es-PE"/>
        </w:rPr>
        <w:t>Palabras clave</w:t>
      </w:r>
      <w:r w:rsidR="00015D5D" w:rsidRPr="00523B54">
        <w:rPr>
          <w:i/>
          <w:lang w:val="es-PE"/>
        </w:rPr>
        <w:t>:</w:t>
      </w:r>
      <w:r w:rsidR="00015D5D" w:rsidRPr="00523B54">
        <w:rPr>
          <w:lang w:val="es-PE"/>
        </w:rPr>
        <w:t xml:space="preserve"> </w:t>
      </w:r>
      <w:r w:rsidR="00DC2E7C" w:rsidRPr="00523B54">
        <w:rPr>
          <w:lang w:val="es-PE"/>
        </w:rPr>
        <w:t>Meteorizacion, suelo, organismos.</w:t>
      </w:r>
    </w:p>
    <w:p w:rsidR="00A97790" w:rsidRPr="00775138" w:rsidRDefault="00A97790" w:rsidP="006549C4">
      <w:pPr>
        <w:pStyle w:val="Els-1storder-head"/>
        <w:keepNext w:val="0"/>
        <w:suppressAutoHyphens w:val="0"/>
        <w:ind w:left="120" w:hanging="120"/>
        <w:rPr>
          <w:sz w:val="22"/>
          <w:lang w:val="es-PE"/>
        </w:rPr>
      </w:pPr>
      <w:r w:rsidRPr="00775138">
        <w:rPr>
          <w:sz w:val="22"/>
          <w:lang w:val="es-PE"/>
        </w:rPr>
        <w:t>Introducción</w:t>
      </w:r>
    </w:p>
    <w:p w:rsidR="00775138" w:rsidRPr="00775138" w:rsidRDefault="00775138" w:rsidP="00213FDE">
      <w:pPr>
        <w:pStyle w:val="APAparrafo"/>
      </w:pPr>
      <w:r w:rsidRPr="00775138">
        <w:t>En las últimas décadas, la actividad humana ha intensificado la degradación ambiental a través de procesos industriales, prácticas agrícolas intensivas y una inadecuada gestión de residuos sólidos y líquidos. Esta situación ha contribuido a la contaminación generalizada de suelos, cuerpos de agua y atmósfera, afectando gravemente la biodiversidad y los servicios ecosistémicos</w:t>
      </w:r>
      <w:sdt>
        <w:sdtPr>
          <w:id w:val="-2097631762"/>
          <w:citation/>
        </w:sdtPr>
        <w:sdtContent>
          <w:r w:rsidRPr="00775138">
            <w:fldChar w:fldCharType="begin"/>
          </w:r>
          <w:r w:rsidRPr="00775138">
            <w:rPr>
              <w:lang w:val="es-ES"/>
            </w:rPr>
            <w:instrText xml:space="preserve"> CITATION Gar19 \l 3082 </w:instrText>
          </w:r>
          <w:r w:rsidRPr="00775138">
            <w:fldChar w:fldCharType="separate"/>
          </w:r>
          <w:r w:rsidRPr="00775138">
            <w:rPr>
              <w:noProof/>
              <w:lang w:val="es-ES"/>
            </w:rPr>
            <w:t xml:space="preserve"> (García, 2019)</w:t>
          </w:r>
          <w:r w:rsidRPr="00775138">
            <w:fldChar w:fldCharType="end"/>
          </w:r>
        </w:sdtContent>
      </w:sdt>
      <w:r w:rsidRPr="00775138">
        <w:t>.</w:t>
      </w:r>
      <w:r>
        <w:t xml:space="preserve"> </w:t>
      </w:r>
      <w:r w:rsidRPr="00775138">
        <w:t xml:space="preserve"> La creciente preocupación por la contaminación ambiental ha llevado a buscar soluciones más sostenibles que los métodos convencionales físico-químicos. La biorremediación se basa en el uso de organismos vivos, principalmente </w:t>
      </w:r>
      <w:r w:rsidRPr="00775138">
        <w:lastRenderedPageBreak/>
        <w:t xml:space="preserve">microorganismos, para eliminar o transformar contaminantes del entorno. Este artículo de revisión examina los fundamentos de la biodegradación y las estrategias microbianas de biorremediación, enfocándose en su aplicación a diferentes matrices ambientales y tipos de contaminantes </w:t>
      </w:r>
      <w:sdt>
        <w:sdtPr>
          <w:id w:val="-426662891"/>
          <w:citation/>
        </w:sdtPr>
        <w:sdtContent>
          <w:r w:rsidRPr="00775138">
            <w:fldChar w:fldCharType="begin"/>
          </w:r>
          <w:r w:rsidRPr="00775138">
            <w:rPr>
              <w:lang w:val="es-ES"/>
            </w:rPr>
            <w:instrText xml:space="preserve"> CITATION atl81 \l 3082 </w:instrText>
          </w:r>
          <w:r w:rsidRPr="00775138">
            <w:fldChar w:fldCharType="separate"/>
          </w:r>
          <w:r w:rsidRPr="00775138">
            <w:rPr>
              <w:noProof/>
              <w:lang w:val="es-ES"/>
            </w:rPr>
            <w:t>(atlas &amp; bartha, 1981)</w:t>
          </w:r>
          <w:r w:rsidRPr="00775138">
            <w:fldChar w:fldCharType="end"/>
          </w:r>
        </w:sdtContent>
      </w:sdt>
      <w:r w:rsidRPr="00775138">
        <w:t xml:space="preserve">. Sobre esta base se sustenta la </w:t>
      </w:r>
      <w:r w:rsidRPr="00775138">
        <w:rPr>
          <w:rStyle w:val="Textoennegrita"/>
          <w:b w:val="0"/>
        </w:rPr>
        <w:t>biorremediación</w:t>
      </w:r>
      <w:r w:rsidRPr="00775138">
        <w:t xml:space="preserve">, una estrategia biotecnológica que utiliza organismos vivos para eliminar o neutralizar contaminantes. Entre sus modalidades más estudiadas se encuentran la </w:t>
      </w:r>
      <w:r w:rsidRPr="00775138">
        <w:rPr>
          <w:rStyle w:val="Textoennegrita"/>
          <w:b w:val="0"/>
        </w:rPr>
        <w:t>bioestimulación</w:t>
      </w:r>
      <w:r w:rsidRPr="00775138">
        <w:t xml:space="preserve">, que consiste en optimizar las condiciones ambientales para favorecer el crecimiento microbiano; la </w:t>
      </w:r>
      <w:r w:rsidRPr="00775138">
        <w:rPr>
          <w:rStyle w:val="Textoennegrita"/>
          <w:b w:val="0"/>
        </w:rPr>
        <w:t>bioaumentación</w:t>
      </w:r>
      <w:r w:rsidRPr="00775138">
        <w:t xml:space="preserve">, que implica la introducción de cepas microbianas especializadas; y la </w:t>
      </w:r>
      <w:r w:rsidRPr="00775138">
        <w:rPr>
          <w:rStyle w:val="Textoennegrita"/>
          <w:b w:val="0"/>
        </w:rPr>
        <w:t>fitorremediación asistida</w:t>
      </w:r>
      <w:r w:rsidRPr="00775138">
        <w:t xml:space="preserve">, que aprovecha la interacción entre plantas y microbios para limpiar suelos y aguas contaminadas </w:t>
      </w:r>
      <w:sdt>
        <w:sdtPr>
          <w:id w:val="438344838"/>
          <w:citation/>
        </w:sdtPr>
        <w:sdtContent>
          <w:r w:rsidRPr="00775138">
            <w:fldChar w:fldCharType="begin"/>
          </w:r>
          <w:r w:rsidRPr="00775138">
            <w:rPr>
              <w:lang w:val="es-ES"/>
            </w:rPr>
            <w:instrText xml:space="preserve"> CITATION Gho \l 3082 </w:instrText>
          </w:r>
          <w:r w:rsidRPr="00775138">
            <w:fldChar w:fldCharType="separate"/>
          </w:r>
          <w:r w:rsidRPr="00775138">
            <w:rPr>
              <w:noProof/>
              <w:lang w:val="es-ES"/>
            </w:rPr>
            <w:t>(Ghosal)</w:t>
          </w:r>
          <w:r w:rsidRPr="00775138">
            <w:fldChar w:fldCharType="end"/>
          </w:r>
        </w:sdtContent>
      </w:sdt>
      <w:r w:rsidRPr="00775138">
        <w:t>.</w:t>
      </w:r>
      <w:r>
        <w:t xml:space="preserve"> </w:t>
      </w:r>
    </w:p>
    <w:p w:rsidR="00197831" w:rsidRPr="00523B54" w:rsidRDefault="00197831" w:rsidP="00197831">
      <w:pPr>
        <w:pStyle w:val="Els-body-text"/>
        <w:rPr>
          <w:lang w:val="es-PE"/>
        </w:rPr>
      </w:pPr>
    </w:p>
    <w:p w:rsidR="00EF3E84" w:rsidRPr="00523B54" w:rsidRDefault="0080669F" w:rsidP="000C5A8B">
      <w:pPr>
        <w:pStyle w:val="Els-1storder-head"/>
        <w:keepNext w:val="0"/>
        <w:suppressAutoHyphens w:val="0"/>
        <w:ind w:left="120" w:hanging="120"/>
        <w:jc w:val="both"/>
        <w:rPr>
          <w:lang w:val="es-PE" w:eastAsia="tr-TR"/>
        </w:rPr>
      </w:pPr>
      <w:r w:rsidRPr="00523B54">
        <w:rPr>
          <w:lang w:val="es-PE" w:eastAsia="tr-TR"/>
        </w:rPr>
        <w:t>Desarrollo o Revisión</w:t>
      </w:r>
    </w:p>
    <w:p w:rsidR="00197831" w:rsidRPr="00523B54" w:rsidRDefault="00775138" w:rsidP="00775138">
      <w:pPr>
        <w:pStyle w:val="Els-1storder-head"/>
        <w:numPr>
          <w:ilvl w:val="1"/>
          <w:numId w:val="31"/>
        </w:numPr>
        <w:spacing w:line="240" w:lineRule="auto"/>
        <w:rPr>
          <w:sz w:val="22"/>
          <w:szCs w:val="22"/>
        </w:rPr>
      </w:pPr>
      <w:r w:rsidRPr="00775138">
        <w:rPr>
          <w:sz w:val="22"/>
          <w:szCs w:val="22"/>
        </w:rPr>
        <w:t>Definición de Biodegradación y Biorremediación</w:t>
      </w:r>
    </w:p>
    <w:p w:rsidR="00BC4C72" w:rsidRDefault="00775138" w:rsidP="00192075">
      <w:pPr>
        <w:pStyle w:val="APAparrafo"/>
      </w:pPr>
      <w:r w:rsidRPr="00775138">
        <w:t>La biodegradación es un proceso natural mediante el cual los microorganismos transforman sustancias complejas en compuestos más simples. Es el fundamento de procesos ecológicos esenciales, como el ciclo del carbono. La biorremediación, por otro lado, es la aplicación intencionada de este fenómeno, con fines de</w:t>
      </w:r>
      <w:r>
        <w:t xml:space="preserve"> </w:t>
      </w:r>
      <w:r w:rsidRPr="00775138">
        <w:t>recuperación ambiental.</w:t>
      </w:r>
    </w:p>
    <w:p w:rsidR="00775138" w:rsidRPr="00775138" w:rsidRDefault="00775138" w:rsidP="00775138">
      <w:pPr>
        <w:pStyle w:val="APAparrafo"/>
        <w:keepNext/>
        <w:numPr>
          <w:ilvl w:val="1"/>
          <w:numId w:val="31"/>
        </w:numPr>
        <w:spacing w:line="240" w:lineRule="auto"/>
        <w:jc w:val="left"/>
        <w:rPr>
          <w:rFonts w:cs="Times New Roman"/>
          <w:b/>
          <w:sz w:val="22"/>
        </w:rPr>
      </w:pPr>
      <w:r w:rsidRPr="00775138">
        <w:rPr>
          <w:rFonts w:cs="Times New Roman"/>
          <w:b/>
          <w:sz w:val="22"/>
        </w:rPr>
        <w:t>Estrategias de Biorremediación</w:t>
      </w:r>
    </w:p>
    <w:p w:rsidR="00197831" w:rsidRDefault="00775138" w:rsidP="00192075">
      <w:pPr>
        <w:pStyle w:val="APAparrafo"/>
      </w:pPr>
      <w:r w:rsidRPr="00775138">
        <w:t xml:space="preserve">La biorremediación se implementa de manera in situ o ex situ. Las técnicas in situ, como la bioestimulación (estimulación de microorganismos autóctonos con </w:t>
      </w:r>
      <w:r w:rsidRPr="00192075">
        <w:t>nutrientes</w:t>
      </w:r>
      <w:r w:rsidRPr="00775138">
        <w:t>) y la bioaumentación (introducción de microorganismos especializados), se aplican directamente en el sitio contaminado. Las ex situ implican la extracción del material para su tratamiento en condiciones controladas, como biorreactores o pilas de compostaje.</w:t>
      </w:r>
      <w:r w:rsidR="00BC4C72">
        <w:tab/>
      </w:r>
    </w:p>
    <w:p w:rsidR="00775138" w:rsidRPr="00775138" w:rsidRDefault="00775138" w:rsidP="00775138">
      <w:pPr>
        <w:pStyle w:val="APAparrafo"/>
        <w:keepNext/>
        <w:spacing w:line="240" w:lineRule="auto"/>
        <w:jc w:val="left"/>
        <w:rPr>
          <w:rFonts w:cs="Times New Roman"/>
          <w:b/>
          <w:sz w:val="22"/>
        </w:rPr>
      </w:pPr>
      <w:r w:rsidRPr="00775138">
        <w:rPr>
          <w:rFonts w:cs="Times New Roman"/>
          <w:b/>
          <w:sz w:val="22"/>
        </w:rPr>
        <w:t xml:space="preserve"> 2.3 Microorganismos Implicados</w:t>
      </w:r>
    </w:p>
    <w:p w:rsidR="00197831" w:rsidRPr="00BC4C72" w:rsidRDefault="00775138" w:rsidP="00192075">
      <w:pPr>
        <w:pStyle w:val="APAparrafo"/>
      </w:pPr>
      <w:r w:rsidRPr="00775138">
        <w:t xml:space="preserve">Diversos microorganismos han demostrado alta eficiencia en la degradación de contaminantes. Bacterias del género Pseudomonas, Bacillus, y Rhodococcus son frecuentes en ambientes contaminados con </w:t>
      </w:r>
      <w:r w:rsidRPr="00775138">
        <w:lastRenderedPageBreak/>
        <w:t>hidrocarburos, gracias a su capacidad para producir biosurfactantes y enzimas especializadas (De la Rosa Cruz et al., 2013). Hongos como Phanerochaete chrysosporium destacan en la degradación de compuestos ligninolíticos y pesticidas persistentes, debido a la producción de ligninasas. Estos organismos han sido utilizados incluso en biopilas y sistemas de filtración biológica.</w:t>
      </w:r>
    </w:p>
    <w:p w:rsidR="00BC4C72" w:rsidRPr="00BC4C72" w:rsidRDefault="00BC4C72" w:rsidP="00197831">
      <w:pPr>
        <w:rPr>
          <w:sz w:val="22"/>
          <w:szCs w:val="22"/>
        </w:rPr>
      </w:pPr>
    </w:p>
    <w:p w:rsidR="00BC4C72" w:rsidRPr="00BC4C72" w:rsidRDefault="00BC4C72" w:rsidP="00197831">
      <w:pPr>
        <w:rPr>
          <w:sz w:val="22"/>
          <w:szCs w:val="22"/>
        </w:rPr>
      </w:pPr>
    </w:p>
    <w:p w:rsidR="00BC4C72" w:rsidRPr="00775138" w:rsidRDefault="00775138" w:rsidP="00197831">
      <w:pPr>
        <w:rPr>
          <w:b/>
          <w:sz w:val="22"/>
          <w:szCs w:val="22"/>
        </w:rPr>
      </w:pPr>
      <w:r>
        <w:rPr>
          <w:sz w:val="22"/>
          <w:szCs w:val="22"/>
        </w:rPr>
        <w:t xml:space="preserve">             </w:t>
      </w:r>
      <w:r w:rsidRPr="00775138">
        <w:rPr>
          <w:b/>
          <w:sz w:val="22"/>
          <w:szCs w:val="22"/>
        </w:rPr>
        <w:t>2.4 Fundamentos de la Biodegradación</w:t>
      </w:r>
    </w:p>
    <w:p w:rsidR="00775138" w:rsidRDefault="00775138" w:rsidP="00192075">
      <w:pPr>
        <w:pStyle w:val="APAparrafo"/>
      </w:pPr>
      <w:r w:rsidRPr="00775138">
        <w:t>La biodegradación implica la descomposición de compuestos orgánicos por microorganismos como bacterias, hongos y levaduras. Este proceso puede ser aeróbico o anaeróbico, dependiendo de la disponibilidad de oxígeno. Los productos finales suelen ser dióxido de carbono, agua, biomasa y, en condiciones anaerobias, metano. La eficacia del proceso depende de factores como el pH, la temperatura, la disponibilidad de nutrientes y la estructura molecular del contaminante (Atlas &amp; Bartha, 1998). Además, el tipo de enzimas expresadas por las especies microbianas condiciona la velocidad del proceso.</w:t>
      </w:r>
    </w:p>
    <w:p w:rsidR="00C04120" w:rsidRDefault="00C04120" w:rsidP="00197831">
      <w:pPr>
        <w:rPr>
          <w:sz w:val="22"/>
          <w:szCs w:val="22"/>
        </w:rPr>
      </w:pPr>
    </w:p>
    <w:p w:rsidR="00C04120" w:rsidRPr="00C04120" w:rsidRDefault="00C04120" w:rsidP="00C04120">
      <w:pPr>
        <w:pStyle w:val="Els-1storder-head"/>
        <w:rPr>
          <w:sz w:val="28"/>
          <w:szCs w:val="22"/>
        </w:rPr>
      </w:pPr>
      <w:r w:rsidRPr="00C04120">
        <w:t>Microorganismos nativos con potencial de biorremediación</w:t>
      </w:r>
    </w:p>
    <w:p w:rsidR="00C04120" w:rsidRDefault="00C04120" w:rsidP="00213FDE">
      <w:pPr>
        <w:pStyle w:val="APAparrafo"/>
      </w:pPr>
      <w:r>
        <w:t>La diversidad microbiana presente en los ecosistemas peruanos, especialmente en zonas impactadas por actividades mineras y agrícolas, ha demostrado una notable capacidad para degradar contaminantes orgánicos e inorgánicos. Estos microorganismos nativos se han adaptado a condiciones extremas, lo que los convierte en candidatos ideales para estrategias de biorremediación local.</w:t>
      </w:r>
    </w:p>
    <w:p w:rsidR="00C04120" w:rsidRDefault="00C04120" w:rsidP="00197831">
      <w:pPr>
        <w:rPr>
          <w:sz w:val="22"/>
          <w:szCs w:val="22"/>
        </w:rPr>
      </w:pPr>
    </w:p>
    <w:p w:rsidR="00C04120" w:rsidRPr="00C04120" w:rsidRDefault="00C04120" w:rsidP="00C04120">
      <w:pPr>
        <w:pStyle w:val="Ttulo3"/>
        <w:rPr>
          <w:sz w:val="22"/>
        </w:rPr>
      </w:pPr>
      <w:r>
        <w:rPr>
          <w:sz w:val="22"/>
          <w:szCs w:val="22"/>
        </w:rPr>
        <w:t xml:space="preserve">3.1 </w:t>
      </w:r>
      <w:r w:rsidRPr="00C04120">
        <w:rPr>
          <w:sz w:val="22"/>
        </w:rPr>
        <w:t>Degrad</w:t>
      </w:r>
      <w:bookmarkStart w:id="0" w:name="_GoBack"/>
      <w:bookmarkEnd w:id="0"/>
      <w:r w:rsidRPr="00C04120">
        <w:rPr>
          <w:sz w:val="22"/>
        </w:rPr>
        <w:t>ación de hidrocarburos en suelos agrícolas (Huamachuco, La Libertad)</w:t>
      </w:r>
    </w:p>
    <w:p w:rsidR="00C04120" w:rsidRDefault="00C04120" w:rsidP="00213FDE">
      <w:pPr>
        <w:pStyle w:val="APAparrafo"/>
        <w:rPr>
          <w:lang w:eastAsia="es-PE"/>
        </w:rPr>
      </w:pPr>
      <w:r w:rsidRPr="00C04120">
        <w:rPr>
          <w:lang w:eastAsia="es-PE"/>
        </w:rPr>
        <w:t xml:space="preserve">En un estudio realizado por la Universidad Nacional de Trujillo, se identificaron bacterias capaces de degradar hidrocarburos del petróleo, específicamente diésel al 1 %, en suelos agrícolas contaminados. Entre las cepas analizadas, </w:t>
      </w:r>
      <w:r w:rsidRPr="00C04120">
        <w:rPr>
          <w:b/>
          <w:bCs/>
          <w:lang w:eastAsia="es-PE"/>
        </w:rPr>
        <w:t>Pseudomonas protegens (PROM2)</w:t>
      </w:r>
      <w:r w:rsidRPr="00C04120">
        <w:rPr>
          <w:lang w:eastAsia="es-PE"/>
        </w:rPr>
        <w:t xml:space="preserve"> mostró la mayor eficiencia, alcanzando una remoción de </w:t>
      </w:r>
      <w:r w:rsidRPr="00C04120">
        <w:rPr>
          <w:b/>
          <w:bCs/>
          <w:lang w:eastAsia="es-PE"/>
        </w:rPr>
        <w:t>91.5 ± 0.7 %</w:t>
      </w:r>
      <w:r w:rsidRPr="00C04120">
        <w:rPr>
          <w:lang w:eastAsia="es-PE"/>
        </w:rPr>
        <w:t xml:space="preserve"> del contaminante en tan solo 10 días.</w:t>
      </w:r>
    </w:p>
    <w:p w:rsidR="00C04120" w:rsidRDefault="00C04120" w:rsidP="00213FDE">
      <w:pPr>
        <w:pStyle w:val="APAparrafo"/>
      </w:pPr>
      <w:r>
        <w:lastRenderedPageBreak/>
        <w:t>Este resultado es relevante porque demuestra que no es necesario introducir bacterias foráneas: las cepas autóctonas ya están adaptadas al entorno y son más efectivas por su resiliencia ambiental (Torres et al., 2023).</w:t>
      </w:r>
    </w:p>
    <w:p w:rsidR="00C04120" w:rsidRPr="00C04120" w:rsidRDefault="00C04120" w:rsidP="00C04120">
      <w:pPr>
        <w:spacing w:before="100" w:beforeAutospacing="1" w:after="100" w:afterAutospacing="1"/>
        <w:rPr>
          <w:b/>
          <w:sz w:val="24"/>
        </w:rPr>
      </w:pPr>
      <w:r w:rsidRPr="00C04120">
        <w:rPr>
          <w:b/>
          <w:sz w:val="24"/>
        </w:rPr>
        <w:t>3.2 Biorremediación de metales pesados (mercurio y arsénico)</w:t>
      </w:r>
    </w:p>
    <w:p w:rsidR="00C04120" w:rsidRPr="00C04120" w:rsidRDefault="00C04120" w:rsidP="00213FDE">
      <w:pPr>
        <w:pStyle w:val="APAparrafo"/>
      </w:pPr>
      <w:r w:rsidRPr="00C04120">
        <w:t xml:space="preserve">En regiones mineras como </w:t>
      </w:r>
      <w:r w:rsidRPr="00C04120">
        <w:rPr>
          <w:rStyle w:val="Textoennegrita"/>
          <w:sz w:val="20"/>
        </w:rPr>
        <w:t>Arequipa, Huancavelica y Puno</w:t>
      </w:r>
      <w:r w:rsidRPr="00C04120">
        <w:t xml:space="preserve">, se ha detectado la presencia de metales pesados como el </w:t>
      </w:r>
      <w:r w:rsidRPr="00C04120">
        <w:rPr>
          <w:rStyle w:val="Textoennegrita"/>
          <w:sz w:val="20"/>
        </w:rPr>
        <w:t>mercurio (Hg)</w:t>
      </w:r>
      <w:r w:rsidRPr="00C04120">
        <w:t xml:space="preserve"> y el </w:t>
      </w:r>
      <w:r w:rsidRPr="00C04120">
        <w:rPr>
          <w:rStyle w:val="Textoennegrita"/>
          <w:sz w:val="20"/>
        </w:rPr>
        <w:t>arsénico (As)</w:t>
      </w:r>
      <w:r w:rsidRPr="00C04120">
        <w:t xml:space="preserve"> en suelos, aguas subterráneas y alimentos. Esto representa un riesgo directo para la salud humana y animal.</w:t>
      </w:r>
    </w:p>
    <w:p w:rsidR="00C04120" w:rsidRPr="00C04120" w:rsidRDefault="00C04120" w:rsidP="00213FDE">
      <w:pPr>
        <w:pStyle w:val="APAparrafo"/>
      </w:pPr>
      <w:r w:rsidRPr="00C04120">
        <w:t xml:space="preserve">Un estudio reciente demostró que las bacterias nativas </w:t>
      </w:r>
      <w:r w:rsidRPr="00C04120">
        <w:rPr>
          <w:rStyle w:val="Textoennegrita"/>
          <w:sz w:val="20"/>
        </w:rPr>
        <w:t>Kocuria sp.</w:t>
      </w:r>
      <w:r w:rsidRPr="00C04120">
        <w:t xml:space="preserve"> y </w:t>
      </w:r>
      <w:r w:rsidRPr="00C04120">
        <w:rPr>
          <w:rStyle w:val="Textoennegrita"/>
          <w:sz w:val="20"/>
        </w:rPr>
        <w:t>Zhihengliuella sp.</w:t>
      </w:r>
      <w:r w:rsidRPr="00C04120">
        <w:t xml:space="preserve">, aisladas de suelos contaminados con mercurio, fueron capaces de remover entre </w:t>
      </w:r>
      <w:r w:rsidRPr="00C04120">
        <w:rPr>
          <w:rStyle w:val="Textoennegrita"/>
          <w:sz w:val="20"/>
        </w:rPr>
        <w:t>28 % y 33 %</w:t>
      </w:r>
      <w:r w:rsidRPr="00C04120">
        <w:t xml:space="preserve"> del metal en un periodo de 45 días. Lo más interesante fue que la mayor parte de la remoción ocurrió en las primeras </w:t>
      </w:r>
      <w:r w:rsidRPr="00C04120">
        <w:rPr>
          <w:rStyle w:val="Textoennegrita"/>
          <w:sz w:val="20"/>
        </w:rPr>
        <w:t>24 horas</w:t>
      </w:r>
      <w:r w:rsidRPr="00C04120">
        <w:t>, indicando una capacidad de adsorción y detoxificación muy rápida (Paredes et al., 2021).</w:t>
      </w:r>
    </w:p>
    <w:p w:rsidR="00C04120" w:rsidRDefault="00C04120" w:rsidP="00C04120">
      <w:pPr>
        <w:spacing w:before="100" w:beforeAutospacing="1" w:after="100" w:afterAutospacing="1"/>
        <w:rPr>
          <w:b/>
          <w:sz w:val="22"/>
        </w:rPr>
      </w:pPr>
      <w:r w:rsidRPr="00C04120">
        <w:rPr>
          <w:b/>
          <w:sz w:val="22"/>
        </w:rPr>
        <w:t>Síntesis de esta sección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3"/>
        <w:gridCol w:w="2688"/>
        <w:gridCol w:w="2232"/>
        <w:gridCol w:w="1713"/>
        <w:gridCol w:w="2170"/>
      </w:tblGrid>
      <w:tr w:rsidR="00C04120" w:rsidRPr="00C04120" w:rsidTr="00C04120">
        <w:trPr>
          <w:tblHeader/>
          <w:tblCellSpacing w:w="15" w:type="dxa"/>
        </w:trPr>
        <w:tc>
          <w:tcPr>
            <w:tcW w:w="1497" w:type="dxa"/>
            <w:vAlign w:val="center"/>
            <w:hideMark/>
          </w:tcPr>
          <w:p w:rsidR="00C04120" w:rsidRPr="00C04120" w:rsidRDefault="00C04120" w:rsidP="00C04120">
            <w:pPr>
              <w:jc w:val="center"/>
              <w:rPr>
                <w:b/>
                <w:bCs/>
                <w:sz w:val="24"/>
                <w:szCs w:val="24"/>
                <w:lang w:eastAsia="es-PE"/>
              </w:rPr>
            </w:pPr>
            <w:r w:rsidRPr="00C04120">
              <w:rPr>
                <w:b/>
                <w:bCs/>
                <w:sz w:val="24"/>
                <w:szCs w:val="24"/>
                <w:lang w:eastAsia="es-PE"/>
              </w:rPr>
              <w:t>Contaminante</w:t>
            </w:r>
          </w:p>
        </w:tc>
        <w:tc>
          <w:tcPr>
            <w:tcW w:w="0" w:type="auto"/>
            <w:vAlign w:val="center"/>
            <w:hideMark/>
          </w:tcPr>
          <w:p w:rsidR="00C04120" w:rsidRPr="00C04120" w:rsidRDefault="00C04120" w:rsidP="00C04120">
            <w:pPr>
              <w:jc w:val="center"/>
              <w:rPr>
                <w:b/>
                <w:bCs/>
                <w:sz w:val="24"/>
                <w:szCs w:val="24"/>
                <w:lang w:eastAsia="es-PE"/>
              </w:rPr>
            </w:pPr>
            <w:r w:rsidRPr="00C04120">
              <w:rPr>
                <w:b/>
                <w:bCs/>
                <w:sz w:val="24"/>
                <w:szCs w:val="24"/>
                <w:lang w:eastAsia="es-PE"/>
              </w:rPr>
              <w:t>Microorganismo nativo</w:t>
            </w:r>
          </w:p>
        </w:tc>
        <w:tc>
          <w:tcPr>
            <w:tcW w:w="0" w:type="auto"/>
            <w:vAlign w:val="center"/>
            <w:hideMark/>
          </w:tcPr>
          <w:p w:rsidR="00C04120" w:rsidRPr="00C04120" w:rsidRDefault="00C04120" w:rsidP="00C04120">
            <w:pPr>
              <w:jc w:val="center"/>
              <w:rPr>
                <w:b/>
                <w:bCs/>
                <w:sz w:val="24"/>
                <w:szCs w:val="24"/>
                <w:lang w:eastAsia="es-PE"/>
              </w:rPr>
            </w:pPr>
            <w:r w:rsidRPr="00C04120">
              <w:rPr>
                <w:b/>
                <w:bCs/>
                <w:sz w:val="24"/>
                <w:szCs w:val="24"/>
                <w:lang w:eastAsia="es-PE"/>
              </w:rPr>
              <w:t>Zona</w:t>
            </w:r>
          </w:p>
        </w:tc>
        <w:tc>
          <w:tcPr>
            <w:tcW w:w="0" w:type="auto"/>
            <w:vAlign w:val="center"/>
            <w:hideMark/>
          </w:tcPr>
          <w:p w:rsidR="00C04120" w:rsidRPr="00C04120" w:rsidRDefault="00C04120" w:rsidP="00C04120">
            <w:pPr>
              <w:jc w:val="center"/>
              <w:rPr>
                <w:b/>
                <w:bCs/>
                <w:sz w:val="24"/>
                <w:szCs w:val="24"/>
                <w:lang w:eastAsia="es-PE"/>
              </w:rPr>
            </w:pPr>
            <w:r w:rsidRPr="00C04120">
              <w:rPr>
                <w:b/>
                <w:bCs/>
                <w:sz w:val="24"/>
                <w:szCs w:val="24"/>
                <w:lang w:eastAsia="es-PE"/>
              </w:rPr>
              <w:t>Eficiencia</w:t>
            </w:r>
          </w:p>
        </w:tc>
        <w:tc>
          <w:tcPr>
            <w:tcW w:w="0" w:type="auto"/>
            <w:vAlign w:val="center"/>
            <w:hideMark/>
          </w:tcPr>
          <w:p w:rsidR="00C04120" w:rsidRPr="00C04120" w:rsidRDefault="00C04120" w:rsidP="00C04120">
            <w:pPr>
              <w:jc w:val="center"/>
              <w:rPr>
                <w:b/>
                <w:bCs/>
                <w:sz w:val="24"/>
                <w:szCs w:val="24"/>
                <w:lang w:eastAsia="es-PE"/>
              </w:rPr>
            </w:pPr>
            <w:r w:rsidRPr="00C04120">
              <w:rPr>
                <w:b/>
                <w:bCs/>
                <w:sz w:val="24"/>
                <w:szCs w:val="24"/>
                <w:lang w:eastAsia="es-PE"/>
              </w:rPr>
              <w:t>Tipo de remediación</w:t>
            </w:r>
          </w:p>
        </w:tc>
      </w:tr>
      <w:tr w:rsidR="00C04120" w:rsidRPr="00C04120" w:rsidTr="00C04120">
        <w:trPr>
          <w:tblCellSpacing w:w="15" w:type="dxa"/>
        </w:trPr>
        <w:tc>
          <w:tcPr>
            <w:tcW w:w="1497" w:type="dxa"/>
            <w:vAlign w:val="center"/>
            <w:hideMark/>
          </w:tcPr>
          <w:p w:rsidR="00C04120" w:rsidRPr="00C04120" w:rsidRDefault="00C04120" w:rsidP="00C04120">
            <w:pPr>
              <w:rPr>
                <w:sz w:val="24"/>
                <w:szCs w:val="24"/>
                <w:lang w:eastAsia="es-PE"/>
              </w:rPr>
            </w:pPr>
            <w:r w:rsidRPr="00C04120">
              <w:rPr>
                <w:sz w:val="24"/>
                <w:szCs w:val="24"/>
                <w:lang w:eastAsia="es-PE"/>
              </w:rPr>
              <w:t>Diésel</w:t>
            </w:r>
          </w:p>
        </w:tc>
        <w:tc>
          <w:tcPr>
            <w:tcW w:w="0" w:type="auto"/>
            <w:vAlign w:val="center"/>
            <w:hideMark/>
          </w:tcPr>
          <w:p w:rsidR="00C04120" w:rsidRPr="00C04120" w:rsidRDefault="00C04120" w:rsidP="00C04120">
            <w:pPr>
              <w:rPr>
                <w:sz w:val="24"/>
                <w:szCs w:val="24"/>
                <w:lang w:eastAsia="es-PE"/>
              </w:rPr>
            </w:pPr>
            <w:r w:rsidRPr="00C04120">
              <w:rPr>
                <w:i/>
                <w:iCs/>
                <w:sz w:val="24"/>
                <w:szCs w:val="24"/>
                <w:lang w:eastAsia="es-PE"/>
              </w:rPr>
              <w:t>Pseudomonas protegens</w:t>
            </w:r>
            <w:r w:rsidRPr="00C04120">
              <w:rPr>
                <w:sz w:val="24"/>
                <w:szCs w:val="24"/>
                <w:lang w:eastAsia="es-PE"/>
              </w:rPr>
              <w:t xml:space="preserve"> PROM2</w:t>
            </w:r>
          </w:p>
        </w:tc>
        <w:tc>
          <w:tcPr>
            <w:tcW w:w="0" w:type="auto"/>
            <w:vAlign w:val="center"/>
            <w:hideMark/>
          </w:tcPr>
          <w:p w:rsidR="00C04120" w:rsidRPr="00C04120" w:rsidRDefault="00C04120" w:rsidP="00C04120">
            <w:pPr>
              <w:rPr>
                <w:sz w:val="24"/>
                <w:szCs w:val="24"/>
                <w:lang w:eastAsia="es-PE"/>
              </w:rPr>
            </w:pPr>
            <w:r w:rsidRPr="00C04120">
              <w:rPr>
                <w:sz w:val="24"/>
                <w:szCs w:val="24"/>
                <w:lang w:eastAsia="es-PE"/>
              </w:rPr>
              <w:t>Huamachuco (La Libertad)</w:t>
            </w:r>
          </w:p>
        </w:tc>
        <w:tc>
          <w:tcPr>
            <w:tcW w:w="0" w:type="auto"/>
            <w:vAlign w:val="center"/>
            <w:hideMark/>
          </w:tcPr>
          <w:p w:rsidR="00C04120" w:rsidRPr="00C04120" w:rsidRDefault="00C04120" w:rsidP="00C04120">
            <w:pPr>
              <w:rPr>
                <w:sz w:val="24"/>
                <w:szCs w:val="24"/>
                <w:lang w:eastAsia="es-PE"/>
              </w:rPr>
            </w:pPr>
            <w:r w:rsidRPr="00C04120">
              <w:rPr>
                <w:sz w:val="24"/>
                <w:szCs w:val="24"/>
                <w:lang w:eastAsia="es-PE"/>
              </w:rPr>
              <w:t>91.5 % en 10 días</w:t>
            </w:r>
          </w:p>
        </w:tc>
        <w:tc>
          <w:tcPr>
            <w:tcW w:w="0" w:type="auto"/>
            <w:vAlign w:val="center"/>
            <w:hideMark/>
          </w:tcPr>
          <w:p w:rsidR="00C04120" w:rsidRPr="00C04120" w:rsidRDefault="00C04120" w:rsidP="00C04120">
            <w:pPr>
              <w:rPr>
                <w:sz w:val="24"/>
                <w:szCs w:val="24"/>
                <w:lang w:eastAsia="es-PE"/>
              </w:rPr>
            </w:pPr>
            <w:r w:rsidRPr="00C04120">
              <w:rPr>
                <w:sz w:val="24"/>
                <w:szCs w:val="24"/>
                <w:lang w:eastAsia="es-PE"/>
              </w:rPr>
              <w:t>Bioaumentación</w:t>
            </w:r>
          </w:p>
        </w:tc>
      </w:tr>
      <w:tr w:rsidR="00C04120" w:rsidRPr="00C04120" w:rsidTr="00C04120">
        <w:trPr>
          <w:tblCellSpacing w:w="15" w:type="dxa"/>
        </w:trPr>
        <w:tc>
          <w:tcPr>
            <w:tcW w:w="1497" w:type="dxa"/>
            <w:vAlign w:val="center"/>
            <w:hideMark/>
          </w:tcPr>
          <w:p w:rsidR="00C04120" w:rsidRPr="00C04120" w:rsidRDefault="00C04120" w:rsidP="00C04120">
            <w:pPr>
              <w:rPr>
                <w:sz w:val="24"/>
                <w:szCs w:val="24"/>
                <w:lang w:eastAsia="es-PE"/>
              </w:rPr>
            </w:pPr>
            <w:r w:rsidRPr="00C04120">
              <w:rPr>
                <w:sz w:val="24"/>
                <w:szCs w:val="24"/>
                <w:lang w:eastAsia="es-PE"/>
              </w:rPr>
              <w:t>Mercurio (Hg)</w:t>
            </w:r>
          </w:p>
        </w:tc>
        <w:tc>
          <w:tcPr>
            <w:tcW w:w="0" w:type="auto"/>
            <w:vAlign w:val="center"/>
            <w:hideMark/>
          </w:tcPr>
          <w:p w:rsidR="00C04120" w:rsidRPr="00C04120" w:rsidRDefault="00C04120" w:rsidP="00C04120">
            <w:pPr>
              <w:rPr>
                <w:sz w:val="24"/>
                <w:szCs w:val="24"/>
                <w:lang w:eastAsia="es-PE"/>
              </w:rPr>
            </w:pPr>
            <w:r w:rsidRPr="00C04120">
              <w:rPr>
                <w:i/>
                <w:iCs/>
                <w:sz w:val="24"/>
                <w:szCs w:val="24"/>
                <w:lang w:eastAsia="es-PE"/>
              </w:rPr>
              <w:t>Kocuria sp.</w:t>
            </w:r>
            <w:r w:rsidRPr="00C04120">
              <w:rPr>
                <w:sz w:val="24"/>
                <w:szCs w:val="24"/>
                <w:lang w:eastAsia="es-PE"/>
              </w:rPr>
              <w:t xml:space="preserve">, </w:t>
            </w:r>
            <w:r w:rsidRPr="00C04120">
              <w:rPr>
                <w:i/>
                <w:iCs/>
                <w:sz w:val="24"/>
                <w:szCs w:val="24"/>
                <w:lang w:eastAsia="es-PE"/>
              </w:rPr>
              <w:t>Zhihengliuella sp.</w:t>
            </w:r>
          </w:p>
        </w:tc>
        <w:tc>
          <w:tcPr>
            <w:tcW w:w="0" w:type="auto"/>
            <w:vAlign w:val="center"/>
            <w:hideMark/>
          </w:tcPr>
          <w:p w:rsidR="00C04120" w:rsidRPr="00C04120" w:rsidRDefault="00C04120" w:rsidP="00C04120">
            <w:pPr>
              <w:rPr>
                <w:sz w:val="24"/>
                <w:szCs w:val="24"/>
                <w:lang w:eastAsia="es-PE"/>
              </w:rPr>
            </w:pPr>
            <w:r w:rsidRPr="00C04120">
              <w:rPr>
                <w:sz w:val="24"/>
                <w:szCs w:val="24"/>
                <w:lang w:eastAsia="es-PE"/>
              </w:rPr>
              <w:t>Arequipa/Puno</w:t>
            </w:r>
          </w:p>
        </w:tc>
        <w:tc>
          <w:tcPr>
            <w:tcW w:w="0" w:type="auto"/>
            <w:vAlign w:val="center"/>
            <w:hideMark/>
          </w:tcPr>
          <w:p w:rsidR="00C04120" w:rsidRPr="00C04120" w:rsidRDefault="00C04120" w:rsidP="00C04120">
            <w:pPr>
              <w:rPr>
                <w:sz w:val="24"/>
                <w:szCs w:val="24"/>
                <w:lang w:eastAsia="es-PE"/>
              </w:rPr>
            </w:pPr>
            <w:r w:rsidRPr="00C04120">
              <w:rPr>
                <w:sz w:val="24"/>
                <w:szCs w:val="24"/>
                <w:lang w:eastAsia="es-PE"/>
              </w:rPr>
              <w:t>28–33 % en 45 días</w:t>
            </w:r>
          </w:p>
        </w:tc>
        <w:tc>
          <w:tcPr>
            <w:tcW w:w="0" w:type="auto"/>
            <w:vAlign w:val="center"/>
            <w:hideMark/>
          </w:tcPr>
          <w:p w:rsidR="00C04120" w:rsidRPr="00C04120" w:rsidRDefault="00C04120" w:rsidP="00C04120">
            <w:pPr>
              <w:rPr>
                <w:sz w:val="24"/>
                <w:szCs w:val="24"/>
                <w:lang w:eastAsia="es-PE"/>
              </w:rPr>
            </w:pPr>
            <w:r w:rsidRPr="00C04120">
              <w:rPr>
                <w:sz w:val="24"/>
                <w:szCs w:val="24"/>
                <w:lang w:eastAsia="es-PE"/>
              </w:rPr>
              <w:t>Bioaumentación</w:t>
            </w:r>
          </w:p>
        </w:tc>
      </w:tr>
      <w:tr w:rsidR="00C04120" w:rsidRPr="00C04120" w:rsidTr="00C04120">
        <w:trPr>
          <w:tblCellSpacing w:w="15" w:type="dxa"/>
        </w:trPr>
        <w:tc>
          <w:tcPr>
            <w:tcW w:w="1497" w:type="dxa"/>
            <w:vAlign w:val="center"/>
            <w:hideMark/>
          </w:tcPr>
          <w:p w:rsidR="00C04120" w:rsidRPr="00C04120" w:rsidRDefault="00C04120" w:rsidP="00C04120">
            <w:pPr>
              <w:rPr>
                <w:sz w:val="24"/>
                <w:szCs w:val="24"/>
                <w:lang w:eastAsia="es-PE"/>
              </w:rPr>
            </w:pPr>
            <w:r w:rsidRPr="00C04120">
              <w:rPr>
                <w:sz w:val="24"/>
                <w:szCs w:val="24"/>
                <w:lang w:eastAsia="es-PE"/>
              </w:rPr>
              <w:t>Arsénico (As)</w:t>
            </w:r>
          </w:p>
        </w:tc>
        <w:tc>
          <w:tcPr>
            <w:tcW w:w="0" w:type="auto"/>
            <w:vAlign w:val="center"/>
            <w:hideMark/>
          </w:tcPr>
          <w:p w:rsidR="00C04120" w:rsidRPr="00C04120" w:rsidRDefault="00C04120" w:rsidP="00C04120">
            <w:pPr>
              <w:rPr>
                <w:sz w:val="24"/>
                <w:szCs w:val="24"/>
                <w:lang w:eastAsia="es-PE"/>
              </w:rPr>
            </w:pPr>
            <w:r w:rsidRPr="00C04120">
              <w:rPr>
                <w:sz w:val="24"/>
                <w:szCs w:val="24"/>
                <w:lang w:eastAsia="es-PE"/>
              </w:rPr>
              <w:t>Diversas bacterias resistentes</w:t>
            </w:r>
          </w:p>
        </w:tc>
        <w:tc>
          <w:tcPr>
            <w:tcW w:w="0" w:type="auto"/>
            <w:vAlign w:val="center"/>
            <w:hideMark/>
          </w:tcPr>
          <w:p w:rsidR="00C04120" w:rsidRPr="00C04120" w:rsidRDefault="00C04120" w:rsidP="00C04120">
            <w:pPr>
              <w:rPr>
                <w:sz w:val="24"/>
                <w:szCs w:val="24"/>
                <w:lang w:eastAsia="es-PE"/>
              </w:rPr>
            </w:pPr>
            <w:r w:rsidRPr="00C04120">
              <w:rPr>
                <w:sz w:val="24"/>
                <w:szCs w:val="24"/>
                <w:lang w:eastAsia="es-PE"/>
              </w:rPr>
              <w:t>Áncash (Huarmey)</w:t>
            </w:r>
          </w:p>
        </w:tc>
        <w:tc>
          <w:tcPr>
            <w:tcW w:w="0" w:type="auto"/>
            <w:vAlign w:val="center"/>
            <w:hideMark/>
          </w:tcPr>
          <w:p w:rsidR="00C04120" w:rsidRPr="00C04120" w:rsidRDefault="00C04120" w:rsidP="00C04120">
            <w:pPr>
              <w:rPr>
                <w:sz w:val="24"/>
                <w:szCs w:val="24"/>
                <w:lang w:eastAsia="es-PE"/>
              </w:rPr>
            </w:pPr>
            <w:r w:rsidRPr="00C04120">
              <w:rPr>
                <w:sz w:val="24"/>
                <w:szCs w:val="24"/>
                <w:lang w:eastAsia="es-PE"/>
              </w:rPr>
              <w:t>Estudio en desarrollo</w:t>
            </w:r>
          </w:p>
        </w:tc>
        <w:tc>
          <w:tcPr>
            <w:tcW w:w="0" w:type="auto"/>
            <w:vAlign w:val="center"/>
            <w:hideMark/>
          </w:tcPr>
          <w:p w:rsidR="00C04120" w:rsidRPr="00C04120" w:rsidRDefault="00C04120" w:rsidP="00C04120">
            <w:pPr>
              <w:rPr>
                <w:sz w:val="24"/>
                <w:szCs w:val="24"/>
                <w:lang w:eastAsia="es-PE"/>
              </w:rPr>
            </w:pPr>
            <w:r w:rsidRPr="00C04120">
              <w:rPr>
                <w:sz w:val="24"/>
                <w:szCs w:val="24"/>
                <w:lang w:eastAsia="es-PE"/>
              </w:rPr>
              <w:t>Inmovilización biológica</w:t>
            </w:r>
          </w:p>
        </w:tc>
      </w:tr>
    </w:tbl>
    <w:p w:rsidR="00C04120" w:rsidRPr="00C04120" w:rsidRDefault="00C04120" w:rsidP="00C04120">
      <w:pPr>
        <w:pStyle w:val="Els-1storder-head"/>
        <w:rPr>
          <w:sz w:val="24"/>
        </w:rPr>
      </w:pPr>
      <w:r w:rsidRPr="00C04120">
        <w:rPr>
          <w:sz w:val="24"/>
        </w:rPr>
        <w:t>Estado de gestión de residuos y aguas en el Perú</w:t>
      </w:r>
    </w:p>
    <w:p w:rsidR="00C04120" w:rsidRPr="00C04120" w:rsidRDefault="00C04120" w:rsidP="00213FDE">
      <w:pPr>
        <w:pStyle w:val="APAparrafo"/>
        <w:rPr>
          <w:b/>
          <w:sz w:val="28"/>
          <w:szCs w:val="24"/>
          <w:lang w:eastAsia="es-PE"/>
        </w:rPr>
      </w:pPr>
      <w:r>
        <w:t>La eficacia de cualquier estrategia de biorremediación depende en gran medida del contexto ambiental y del nivel de gestión de residuos y aguas en el país. En Perú, si bien se han logrado avances en la gestión ambiental, aún persisten importantes brechas estructurales, principalmente en las zonas rurales y urbano-marginales. Estas condiciones hacen urgente la implementación de tecnologías sostenibles como la biorremediación.</w:t>
      </w:r>
    </w:p>
    <w:p w:rsidR="00775138" w:rsidRPr="00C04120" w:rsidRDefault="00C04120" w:rsidP="00197831">
      <w:pPr>
        <w:rPr>
          <w:b/>
          <w:sz w:val="24"/>
          <w:szCs w:val="22"/>
        </w:rPr>
      </w:pPr>
      <w:r w:rsidRPr="00C04120">
        <w:rPr>
          <w:b/>
          <w:sz w:val="24"/>
          <w:szCs w:val="22"/>
        </w:rPr>
        <w:t xml:space="preserve"> 4.1 </w:t>
      </w:r>
      <w:r w:rsidRPr="00C04120">
        <w:rPr>
          <w:b/>
          <w:sz w:val="22"/>
        </w:rPr>
        <w:t>Aguas residuales: tratamiento deficiente y desigual</w:t>
      </w:r>
    </w:p>
    <w:p w:rsidR="00C04120" w:rsidRDefault="00C04120" w:rsidP="00197831"/>
    <w:p w:rsidR="00775138" w:rsidRDefault="00C04120" w:rsidP="00213FDE">
      <w:pPr>
        <w:pStyle w:val="APAparrafo"/>
        <w:rPr>
          <w:sz w:val="22"/>
        </w:rPr>
      </w:pPr>
      <w:r>
        <w:lastRenderedPageBreak/>
        <w:t xml:space="preserve">Uno de los principales problemas ambientales del país es el </w:t>
      </w:r>
      <w:r>
        <w:rPr>
          <w:rStyle w:val="Textoennegrita"/>
        </w:rPr>
        <w:t>bajo tratamiento de aguas residuales</w:t>
      </w:r>
      <w:r>
        <w:t xml:space="preserve">. Según datos del Ministerio del Ambiente (MINAM), </w:t>
      </w:r>
      <w:r>
        <w:rPr>
          <w:rStyle w:val="Textoennegrita"/>
        </w:rPr>
        <w:t>aproximadamente el 70 % de las aguas servidas del país no recibe ningún tipo de tratamiento antes de ser vertidas en cuerpos de agua naturales</w:t>
      </w:r>
      <w:r>
        <w:t xml:space="preserve"> como ríos, lagunas o el mar.</w:t>
      </w:r>
    </w:p>
    <w:p w:rsidR="00775138" w:rsidRDefault="00775138" w:rsidP="00197831">
      <w:pPr>
        <w:rPr>
          <w:sz w:val="22"/>
          <w:szCs w:val="22"/>
        </w:rPr>
      </w:pPr>
      <w:r>
        <w:rPr>
          <w:sz w:val="22"/>
          <w:szCs w:val="22"/>
        </w:rPr>
        <w:t xml:space="preserve">        </w:t>
      </w:r>
    </w:p>
    <w:p w:rsidR="00C04120" w:rsidRDefault="00C04120" w:rsidP="00213FDE">
      <w:pPr>
        <w:pStyle w:val="APAparrafo"/>
      </w:pPr>
      <w:r>
        <w:t xml:space="preserve"> -En zonas urbanas, especialmente en Lima y el Callao, se concentra la mayor parte de las plantas de tratamiento funcionales.</w:t>
      </w:r>
    </w:p>
    <w:p w:rsidR="00A11B03" w:rsidRDefault="00A11B03" w:rsidP="00192075">
      <w:pPr>
        <w:pStyle w:val="APAparrafo"/>
      </w:pPr>
      <w:r>
        <w:t>- En cambio, en regiones como Loreto, Ucayali o Puno, gran parte de las aguas residuales se descargan sin tratamiento, afectando a poblaciones rurales e indígenas.</w:t>
      </w:r>
    </w:p>
    <w:p w:rsidR="00A11B03" w:rsidRPr="00A11B03" w:rsidRDefault="00A11B03" w:rsidP="00C04120">
      <w:pPr>
        <w:pStyle w:val="NormalWeb"/>
        <w:rPr>
          <w:b/>
        </w:rPr>
      </w:pPr>
      <w:r w:rsidRPr="00A11B03">
        <w:rPr>
          <w:b/>
        </w:rPr>
        <w:t>4.2 Residuos sólidos: generación creciente, manejo limitado</w:t>
      </w:r>
    </w:p>
    <w:p w:rsidR="00C04120" w:rsidRPr="00A11B03" w:rsidRDefault="00C04120" w:rsidP="00192075">
      <w:pPr>
        <w:pStyle w:val="APAparrafo"/>
        <w:rPr>
          <w:sz w:val="22"/>
        </w:rPr>
      </w:pPr>
      <w:r>
        <w:t xml:space="preserve">  </w:t>
      </w:r>
      <w:r w:rsidR="00A11B03">
        <w:t xml:space="preserve">Cada año, el Perú genera más de </w:t>
      </w:r>
      <w:r w:rsidR="00A11B03">
        <w:rPr>
          <w:rStyle w:val="Textoennegrita"/>
        </w:rPr>
        <w:t>8.45 millones de toneladas de residuos sólidos urbanos (RSU)</w:t>
      </w:r>
      <w:r w:rsidR="00A11B03">
        <w:t xml:space="preserve">. Sin embargo, </w:t>
      </w:r>
      <w:r w:rsidR="00A11B03">
        <w:rPr>
          <w:rStyle w:val="Textoennegrita"/>
        </w:rPr>
        <w:t>solo el 61.8 %</w:t>
      </w:r>
      <w:r w:rsidR="00A11B03">
        <w:t xml:space="preserve"> de estos residuos son dispuestos adecuadamente en rellenos sanitarios, mientras que el resto termina en </w:t>
      </w:r>
      <w:r w:rsidR="00A11B03">
        <w:rPr>
          <w:rStyle w:val="Textoennegrita"/>
        </w:rPr>
        <w:t>botaderos informales o áreas no autorizadas</w:t>
      </w:r>
      <w:r w:rsidR="00A11B03">
        <w:t>, muchas veces cerca de cuerpos de agua o zonas agrícolas.</w:t>
      </w:r>
    </w:p>
    <w:p w:rsidR="00BC4C72" w:rsidRPr="00BC4C72" w:rsidRDefault="00BC4C72" w:rsidP="00197831">
      <w:pPr>
        <w:rPr>
          <w:sz w:val="22"/>
          <w:szCs w:val="22"/>
        </w:rPr>
      </w:pP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71"/>
        <w:gridCol w:w="3006"/>
      </w:tblGrid>
      <w:tr w:rsidR="00A11B03" w:rsidRPr="00A11B03" w:rsidTr="00A11B03">
        <w:trPr>
          <w:tblHeader/>
          <w:tblCellSpacing w:w="15" w:type="dxa"/>
        </w:trPr>
        <w:tc>
          <w:tcPr>
            <w:tcW w:w="0" w:type="auto"/>
            <w:vAlign w:val="center"/>
            <w:hideMark/>
          </w:tcPr>
          <w:p w:rsidR="00A11B03" w:rsidRPr="00A11B03" w:rsidRDefault="00A11B03" w:rsidP="00A11B03">
            <w:pPr>
              <w:jc w:val="center"/>
              <w:rPr>
                <w:b/>
                <w:bCs/>
                <w:sz w:val="24"/>
                <w:szCs w:val="24"/>
                <w:lang w:eastAsia="es-PE"/>
              </w:rPr>
            </w:pPr>
            <w:r w:rsidRPr="00A11B03">
              <w:rPr>
                <w:b/>
                <w:bCs/>
                <w:sz w:val="24"/>
                <w:szCs w:val="24"/>
                <w:lang w:eastAsia="es-PE"/>
              </w:rPr>
              <w:t>Indicador</w:t>
            </w:r>
          </w:p>
        </w:tc>
        <w:tc>
          <w:tcPr>
            <w:tcW w:w="0" w:type="auto"/>
            <w:vAlign w:val="center"/>
            <w:hideMark/>
          </w:tcPr>
          <w:p w:rsidR="00A11B03" w:rsidRPr="00A11B03" w:rsidRDefault="00A11B03" w:rsidP="00A11B03">
            <w:pPr>
              <w:jc w:val="center"/>
              <w:rPr>
                <w:b/>
                <w:bCs/>
                <w:sz w:val="24"/>
                <w:szCs w:val="24"/>
                <w:lang w:eastAsia="es-PE"/>
              </w:rPr>
            </w:pPr>
            <w:r w:rsidRPr="00A11B03">
              <w:rPr>
                <w:b/>
                <w:bCs/>
                <w:sz w:val="24"/>
                <w:szCs w:val="24"/>
                <w:lang w:eastAsia="es-PE"/>
              </w:rPr>
              <w:t>Valor (2023)</w:t>
            </w:r>
          </w:p>
        </w:tc>
      </w:tr>
      <w:tr w:rsidR="00A11B03" w:rsidRPr="00A11B03" w:rsidTr="00A11B03">
        <w:trPr>
          <w:tblCellSpacing w:w="15" w:type="dxa"/>
        </w:trPr>
        <w:tc>
          <w:tcPr>
            <w:tcW w:w="0" w:type="auto"/>
            <w:vAlign w:val="center"/>
            <w:hideMark/>
          </w:tcPr>
          <w:p w:rsidR="00A11B03" w:rsidRPr="00A11B03" w:rsidRDefault="00A11B03" w:rsidP="00A11B03">
            <w:pPr>
              <w:rPr>
                <w:sz w:val="24"/>
                <w:szCs w:val="24"/>
                <w:lang w:eastAsia="es-PE"/>
              </w:rPr>
            </w:pPr>
            <w:r w:rsidRPr="00A11B03">
              <w:rPr>
                <w:sz w:val="24"/>
                <w:szCs w:val="24"/>
                <w:lang w:eastAsia="es-PE"/>
              </w:rPr>
              <w:t>RSU generados anualmente</w:t>
            </w:r>
          </w:p>
        </w:tc>
        <w:tc>
          <w:tcPr>
            <w:tcW w:w="0" w:type="auto"/>
            <w:vAlign w:val="center"/>
            <w:hideMark/>
          </w:tcPr>
          <w:p w:rsidR="00A11B03" w:rsidRPr="00A11B03" w:rsidRDefault="00A11B03" w:rsidP="00A11B03">
            <w:pPr>
              <w:rPr>
                <w:sz w:val="24"/>
                <w:szCs w:val="24"/>
                <w:lang w:eastAsia="es-PE"/>
              </w:rPr>
            </w:pPr>
            <w:r w:rsidRPr="00A11B03">
              <w:rPr>
                <w:sz w:val="24"/>
                <w:szCs w:val="24"/>
                <w:lang w:eastAsia="es-PE"/>
              </w:rPr>
              <w:t>8,455,615 toneladas</w:t>
            </w:r>
          </w:p>
        </w:tc>
      </w:tr>
      <w:tr w:rsidR="00A11B03" w:rsidRPr="00A11B03" w:rsidTr="00A11B03">
        <w:trPr>
          <w:tblCellSpacing w:w="15" w:type="dxa"/>
        </w:trPr>
        <w:tc>
          <w:tcPr>
            <w:tcW w:w="0" w:type="auto"/>
            <w:vAlign w:val="center"/>
            <w:hideMark/>
          </w:tcPr>
          <w:p w:rsidR="00A11B03" w:rsidRPr="00A11B03" w:rsidRDefault="00A11B03" w:rsidP="00A11B03">
            <w:pPr>
              <w:rPr>
                <w:sz w:val="24"/>
                <w:szCs w:val="24"/>
                <w:lang w:eastAsia="es-PE"/>
              </w:rPr>
            </w:pPr>
            <w:r w:rsidRPr="00A11B03">
              <w:rPr>
                <w:sz w:val="24"/>
                <w:szCs w:val="24"/>
                <w:lang w:eastAsia="es-PE"/>
              </w:rPr>
              <w:t>Porcentaje dispuestos en relleno</w:t>
            </w:r>
          </w:p>
        </w:tc>
        <w:tc>
          <w:tcPr>
            <w:tcW w:w="0" w:type="auto"/>
            <w:vAlign w:val="center"/>
            <w:hideMark/>
          </w:tcPr>
          <w:p w:rsidR="00A11B03" w:rsidRPr="00A11B03" w:rsidRDefault="00A11B03" w:rsidP="00A11B03">
            <w:pPr>
              <w:rPr>
                <w:sz w:val="24"/>
                <w:szCs w:val="24"/>
                <w:lang w:eastAsia="es-PE"/>
              </w:rPr>
            </w:pPr>
            <w:r w:rsidRPr="00A11B03">
              <w:rPr>
                <w:sz w:val="24"/>
                <w:szCs w:val="24"/>
                <w:lang w:eastAsia="es-PE"/>
              </w:rPr>
              <w:t>61.8 %</w:t>
            </w:r>
          </w:p>
        </w:tc>
      </w:tr>
      <w:tr w:rsidR="00A11B03" w:rsidRPr="00A11B03" w:rsidTr="00A11B03">
        <w:trPr>
          <w:tblCellSpacing w:w="15" w:type="dxa"/>
        </w:trPr>
        <w:tc>
          <w:tcPr>
            <w:tcW w:w="0" w:type="auto"/>
            <w:vAlign w:val="center"/>
            <w:hideMark/>
          </w:tcPr>
          <w:p w:rsidR="00A11B03" w:rsidRPr="00A11B03" w:rsidRDefault="00A11B03" w:rsidP="00A11B03">
            <w:pPr>
              <w:rPr>
                <w:sz w:val="24"/>
                <w:szCs w:val="24"/>
                <w:lang w:eastAsia="es-PE"/>
              </w:rPr>
            </w:pPr>
            <w:r w:rsidRPr="00A11B03">
              <w:rPr>
                <w:sz w:val="24"/>
                <w:szCs w:val="24"/>
                <w:lang w:eastAsia="es-PE"/>
              </w:rPr>
              <w:t>Porcentaje en botaderos</w:t>
            </w:r>
          </w:p>
        </w:tc>
        <w:tc>
          <w:tcPr>
            <w:tcW w:w="0" w:type="auto"/>
            <w:vAlign w:val="center"/>
            <w:hideMark/>
          </w:tcPr>
          <w:p w:rsidR="00A11B03" w:rsidRPr="00A11B03" w:rsidRDefault="00A11B03" w:rsidP="00A11B03">
            <w:pPr>
              <w:rPr>
                <w:sz w:val="24"/>
                <w:szCs w:val="24"/>
                <w:lang w:eastAsia="es-PE"/>
              </w:rPr>
            </w:pPr>
            <w:r w:rsidRPr="00A11B03">
              <w:rPr>
                <w:sz w:val="24"/>
                <w:szCs w:val="24"/>
                <w:lang w:eastAsia="es-PE"/>
              </w:rPr>
              <w:t>38.2 %</w:t>
            </w:r>
          </w:p>
        </w:tc>
      </w:tr>
      <w:tr w:rsidR="00A11B03" w:rsidRPr="00A11B03" w:rsidTr="00A11B03">
        <w:trPr>
          <w:tblCellSpacing w:w="15" w:type="dxa"/>
        </w:trPr>
        <w:tc>
          <w:tcPr>
            <w:tcW w:w="0" w:type="auto"/>
            <w:vAlign w:val="center"/>
            <w:hideMark/>
          </w:tcPr>
          <w:p w:rsidR="00A11B03" w:rsidRPr="00A11B03" w:rsidRDefault="00A11B03" w:rsidP="00A11B03">
            <w:pPr>
              <w:rPr>
                <w:sz w:val="24"/>
                <w:szCs w:val="24"/>
                <w:lang w:eastAsia="es-PE"/>
              </w:rPr>
            </w:pPr>
            <w:r w:rsidRPr="00A11B03">
              <w:rPr>
                <w:sz w:val="24"/>
                <w:szCs w:val="24"/>
                <w:lang w:eastAsia="es-PE"/>
              </w:rPr>
              <w:t>Municipios sin sistema formal</w:t>
            </w:r>
          </w:p>
        </w:tc>
        <w:tc>
          <w:tcPr>
            <w:tcW w:w="0" w:type="auto"/>
            <w:vAlign w:val="center"/>
            <w:hideMark/>
          </w:tcPr>
          <w:p w:rsidR="00A11B03" w:rsidRPr="00A11B03" w:rsidRDefault="00A11B03" w:rsidP="00A11B03">
            <w:pPr>
              <w:rPr>
                <w:sz w:val="24"/>
                <w:szCs w:val="24"/>
                <w:lang w:eastAsia="es-PE"/>
              </w:rPr>
            </w:pPr>
            <w:r w:rsidRPr="00A11B03">
              <w:rPr>
                <w:sz w:val="24"/>
                <w:szCs w:val="24"/>
                <w:lang w:eastAsia="es-PE"/>
              </w:rPr>
              <w:t>Más del 70 % en zonas rurales</w:t>
            </w:r>
          </w:p>
        </w:tc>
      </w:tr>
    </w:tbl>
    <w:p w:rsidR="00BC4C72" w:rsidRPr="00BC4C72" w:rsidRDefault="00BC4C72" w:rsidP="00197831">
      <w:pPr>
        <w:rPr>
          <w:sz w:val="22"/>
          <w:szCs w:val="22"/>
        </w:rPr>
      </w:pPr>
    </w:p>
    <w:p w:rsidR="00BC4C72" w:rsidRPr="00BC4C72" w:rsidRDefault="00BC4C72" w:rsidP="00197831">
      <w:pPr>
        <w:rPr>
          <w:sz w:val="22"/>
          <w:szCs w:val="22"/>
        </w:rPr>
      </w:pPr>
    </w:p>
    <w:p w:rsidR="00BC4C72" w:rsidRPr="00A11B03" w:rsidRDefault="00A11B03" w:rsidP="00197831">
      <w:pPr>
        <w:rPr>
          <w:b/>
          <w:sz w:val="24"/>
          <w:szCs w:val="22"/>
        </w:rPr>
      </w:pPr>
      <w:r w:rsidRPr="00A11B03">
        <w:rPr>
          <w:b/>
          <w:sz w:val="24"/>
          <w:szCs w:val="22"/>
        </w:rPr>
        <w:t xml:space="preserve">4.3 </w:t>
      </w:r>
      <w:r w:rsidRPr="00A11B03">
        <w:rPr>
          <w:b/>
          <w:sz w:val="22"/>
        </w:rPr>
        <w:t>Exposición a metales pesados en poblaciones vulnerables</w:t>
      </w:r>
    </w:p>
    <w:p w:rsidR="00BC4C72" w:rsidRPr="00A11B03" w:rsidRDefault="00BC4C72" w:rsidP="00197831">
      <w:pPr>
        <w:rPr>
          <w:b/>
          <w:sz w:val="24"/>
          <w:szCs w:val="22"/>
        </w:rPr>
      </w:pPr>
    </w:p>
    <w:p w:rsidR="00BC4C72" w:rsidRDefault="00A11B03" w:rsidP="00192075">
      <w:pPr>
        <w:pStyle w:val="APAparrafo"/>
      </w:pPr>
      <w:r>
        <w:t xml:space="preserve">La exposición a metales como arsénico, plomo, mercurio y cadmio es un problema crítico en varias regiones mineras del Perú. Estudios realizados por DIGESA (Dirección General de Salud Ambiental) y organizaciones como CENSOPAS han demostrado que </w:t>
      </w:r>
      <w:r>
        <w:rPr>
          <w:rStyle w:val="Textoennegrita"/>
        </w:rPr>
        <w:t>al menos el 30 % de las personas que viven cerca de zonas mineras presentan niveles peligrosos de metales pesados en sangre u orina</w:t>
      </w:r>
      <w:r>
        <w:t>.</w:t>
      </w:r>
    </w:p>
    <w:p w:rsidR="00A11B03" w:rsidRDefault="00A11B03" w:rsidP="00192075">
      <w:pPr>
        <w:pStyle w:val="APAparrafo"/>
      </w:pPr>
      <w:r>
        <w:lastRenderedPageBreak/>
        <w:t xml:space="preserve">   </w:t>
      </w:r>
      <w:r>
        <w:rPr>
          <w:rFonts w:hAnsi="Symbol"/>
        </w:rPr>
        <w:t>-</w:t>
      </w:r>
      <w:r>
        <w:rPr>
          <w:rStyle w:val="Textoennegrita"/>
        </w:rPr>
        <w:t>Huarmey (Áncash)</w:t>
      </w:r>
      <w:r>
        <w:t>: presencia de arsénico en agua potable hasta 9 veces el límite permitido por la OMS.</w:t>
      </w:r>
    </w:p>
    <w:p w:rsidR="00A11B03" w:rsidRDefault="00A11B03" w:rsidP="00192075">
      <w:pPr>
        <w:pStyle w:val="APAparrafo"/>
      </w:pPr>
      <w:r>
        <w:rPr>
          <w:rFonts w:hAnsi="Symbol"/>
        </w:rPr>
        <w:t>-</w:t>
      </w:r>
      <w:r>
        <w:t xml:space="preserve"> </w:t>
      </w:r>
      <w:r>
        <w:rPr>
          <w:rStyle w:val="Textoennegrita"/>
        </w:rPr>
        <w:t>La Oroya (Junín)</w:t>
      </w:r>
      <w:r>
        <w:t>: históricamente una de las ciudades más contaminadas del mundo por plomo y dióxido de azufre.</w:t>
      </w:r>
    </w:p>
    <w:p w:rsidR="00A11B03" w:rsidRPr="00A11B03" w:rsidRDefault="00A11B03" w:rsidP="00197831">
      <w:pPr>
        <w:rPr>
          <w:b/>
          <w:sz w:val="28"/>
          <w:szCs w:val="22"/>
        </w:rPr>
      </w:pPr>
      <w:r w:rsidRPr="00A11B03">
        <w:rPr>
          <w:b/>
          <w:sz w:val="28"/>
          <w:szCs w:val="22"/>
        </w:rPr>
        <w:t xml:space="preserve">5. </w:t>
      </w:r>
      <w:r w:rsidRPr="00A11B03">
        <w:rPr>
          <w:b/>
          <w:sz w:val="24"/>
        </w:rPr>
        <w:t>Aplicaciones y casos de éxito en biorremediación en Perú</w:t>
      </w:r>
    </w:p>
    <w:p w:rsidR="00552062" w:rsidRPr="00552062" w:rsidRDefault="00552062" w:rsidP="00192075">
      <w:pPr>
        <w:pStyle w:val="APAparrafo"/>
      </w:pPr>
      <w:r w:rsidRPr="00552062">
        <w:t>Aunque en el Perú la biorremediación aún no se aplica a gran escala como en países más industrializados, se han desarrollado diversos proyectos exitosos —especialmente desde instituciones universitarias, gobiernos locales y ONGs— que demuestran el potencial de esta tecnología en distintos escenarios de contaminación ambiental.</w:t>
      </w:r>
    </w:p>
    <w:p w:rsidR="00BC4C72" w:rsidRPr="00BC4C72" w:rsidRDefault="00BC4C72" w:rsidP="00197831">
      <w:pPr>
        <w:rPr>
          <w:sz w:val="22"/>
          <w:szCs w:val="22"/>
        </w:rPr>
      </w:pPr>
    </w:p>
    <w:p w:rsidR="00BC4C72" w:rsidRPr="00552062" w:rsidRDefault="00552062" w:rsidP="00197831">
      <w:pPr>
        <w:rPr>
          <w:b/>
          <w:sz w:val="24"/>
          <w:szCs w:val="22"/>
        </w:rPr>
      </w:pPr>
      <w:r w:rsidRPr="00552062">
        <w:rPr>
          <w:b/>
          <w:sz w:val="24"/>
          <w:szCs w:val="22"/>
        </w:rPr>
        <w:t xml:space="preserve">5.1 </w:t>
      </w:r>
      <w:r w:rsidRPr="00552062">
        <w:rPr>
          <w:b/>
          <w:sz w:val="22"/>
        </w:rPr>
        <w:t>Remediación de suelos contaminados por minería: Cerro de Pasco y La Oroya</w:t>
      </w:r>
    </w:p>
    <w:p w:rsidR="00BC4C72" w:rsidRDefault="00552062" w:rsidP="00213FDE">
      <w:pPr>
        <w:pStyle w:val="APAparrafo"/>
      </w:pPr>
      <w:r>
        <w:t xml:space="preserve">En zonas con actividad minera intensiva, como </w:t>
      </w:r>
      <w:r>
        <w:rPr>
          <w:rStyle w:val="Textoennegrita"/>
        </w:rPr>
        <w:t>Cerro de Pasco</w:t>
      </w:r>
      <w:r>
        <w:t xml:space="preserve"> y </w:t>
      </w:r>
      <w:r>
        <w:rPr>
          <w:rStyle w:val="Textoennegrita"/>
        </w:rPr>
        <w:t>La Oroya (Junín)</w:t>
      </w:r>
      <w:r>
        <w:t xml:space="preserve">, los suelos presentan altos niveles de </w:t>
      </w:r>
      <w:r>
        <w:rPr>
          <w:rStyle w:val="Textoennegrita"/>
        </w:rPr>
        <w:t>plomo (Pb), cadmio (Cd), arsénico (As)</w:t>
      </w:r>
      <w:r>
        <w:t xml:space="preserve"> y otros metales pesados. Investigadores de la Universidad Nacional del Centro del Perú han probado técnicas de </w:t>
      </w:r>
      <w:r>
        <w:rPr>
          <w:rStyle w:val="Textoennegrita"/>
        </w:rPr>
        <w:t>bioaumentación</w:t>
      </w:r>
      <w:r>
        <w:t xml:space="preserve"> con bacterias resistentes aisladas de la misma zona para inmovilizar estos metales.</w:t>
      </w:r>
    </w:p>
    <w:p w:rsidR="00552062" w:rsidRDefault="00552062" w:rsidP="00213FDE">
      <w:pPr>
        <w:pStyle w:val="APAparrafo"/>
      </w:pPr>
      <w:r>
        <w:t xml:space="preserve">En un experimento de campo con suelos contaminados por plomo, el uso de la bacteria </w:t>
      </w:r>
      <w:r>
        <w:rPr>
          <w:rStyle w:val="nfasis"/>
        </w:rPr>
        <w:t>Bacillus cereus</w:t>
      </w:r>
      <w:r>
        <w:t xml:space="preserve"> redujo la </w:t>
      </w:r>
      <w:r>
        <w:rPr>
          <w:rStyle w:val="Textoennegrita"/>
        </w:rPr>
        <w:t xml:space="preserve">movilidad del metal </w:t>
      </w:r>
      <w:r w:rsidRPr="00213FDE">
        <w:rPr>
          <w:rStyle w:val="Textoennegrita"/>
          <w:b w:val="0"/>
          <w:bCs w:val="0"/>
        </w:rPr>
        <w:t>hasta</w:t>
      </w:r>
      <w:r>
        <w:rPr>
          <w:rStyle w:val="Textoennegrita"/>
        </w:rPr>
        <w:t xml:space="preserve"> en un 45 % en 30 días</w:t>
      </w:r>
      <w:r>
        <w:t>, limitando su absorción por cultivos.</w:t>
      </w:r>
    </w:p>
    <w:p w:rsidR="00552062" w:rsidRDefault="00552062" w:rsidP="00213FDE">
      <w:pPr>
        <w:pStyle w:val="APAparrafo"/>
      </w:pPr>
      <w:r>
        <w:t xml:space="preserve">Este tipo de intervención </w:t>
      </w:r>
      <w:r w:rsidRPr="00213FDE">
        <w:t>es</w:t>
      </w:r>
      <w:r>
        <w:t xml:space="preserve"> fundamental en comunidades expuestas crónicamente a la contaminación, donde no es viable remover ni reemplazar el suelo afectado.</w:t>
      </w:r>
    </w:p>
    <w:p w:rsidR="00552062" w:rsidRDefault="00552062" w:rsidP="00213FDE">
      <w:pPr>
        <w:pStyle w:val="APAparrafo"/>
      </w:pPr>
      <w:r>
        <w:rPr>
          <w:rFonts w:ascii="Segoe UI Symbol" w:hAnsi="Segoe UI Symbol" w:cs="Segoe UI Symbol"/>
        </w:rPr>
        <w:t>✅</w:t>
      </w:r>
      <w:r>
        <w:t xml:space="preserve"> </w:t>
      </w:r>
      <w:r>
        <w:rPr>
          <w:rStyle w:val="Textoennegrita"/>
        </w:rPr>
        <w:t>Impacto</w:t>
      </w:r>
      <w:r>
        <w:t>: Mejora la seguridad alimentaria y reduce riesgos de salud sin requerir maquinaria pesada ni químicos agresivos.</w:t>
      </w:r>
    </w:p>
    <w:p w:rsidR="00552062" w:rsidRDefault="00552062" w:rsidP="00552062">
      <w:pPr>
        <w:pStyle w:val="NormalWeb"/>
        <w:rPr>
          <w:b/>
        </w:rPr>
      </w:pPr>
      <w:r w:rsidRPr="00552062">
        <w:rPr>
          <w:b/>
        </w:rPr>
        <w:t>5.2 Biorremediación de cuerpos de agua contaminados: caso del Lago Titicaca</w:t>
      </w:r>
    </w:p>
    <w:p w:rsidR="00552062" w:rsidRDefault="00552062" w:rsidP="00213FDE">
      <w:pPr>
        <w:pStyle w:val="APAparrafo"/>
      </w:pPr>
      <w:r>
        <w:t xml:space="preserve">El </w:t>
      </w:r>
      <w:r>
        <w:rPr>
          <w:rStyle w:val="Textoennegrita"/>
        </w:rPr>
        <w:t>Lago Titicaca</w:t>
      </w:r>
      <w:r>
        <w:t xml:space="preserve">, compartido entre Perú y Bolivia, sufre una grave contaminación por aguas residuales domésticas y metales pesados provenientes de la minería informal. En el lado peruano (Puno), </w:t>
      </w:r>
      <w:r>
        <w:lastRenderedPageBreak/>
        <w:t xml:space="preserve">investigadores del Instituto del Mar del Perú (IMARPE) y la Universidad Nacional del Altiplano realizaron estudios piloto para aplicar </w:t>
      </w:r>
      <w:r>
        <w:rPr>
          <w:rStyle w:val="Textoennegrita"/>
        </w:rPr>
        <w:t>biofiltros</w:t>
      </w:r>
      <w:r>
        <w:t xml:space="preserve"> con bacterias autóctonas capaces de </w:t>
      </w:r>
      <w:r>
        <w:rPr>
          <w:rStyle w:val="Textoennegrita"/>
        </w:rPr>
        <w:t>reducir la carga orgánica y niveles de nitrógeno y fósforo</w:t>
      </w:r>
      <w:r>
        <w:t xml:space="preserve"> en el agua.</w:t>
      </w:r>
    </w:p>
    <w:p w:rsidR="00552062" w:rsidRDefault="00552062" w:rsidP="00213FDE">
      <w:pPr>
        <w:pStyle w:val="APAparrafo"/>
      </w:pPr>
      <w:r>
        <w:t xml:space="preserve">Se reportaron mejoras en la calidad del agua superficial en zonas intervenidas, con </w:t>
      </w:r>
      <w:r>
        <w:rPr>
          <w:rStyle w:val="Textoennegrita"/>
        </w:rPr>
        <w:t>una reducción del 60 % de DBO (demanda biológica de oxígeno)</w:t>
      </w:r>
      <w:r>
        <w:t xml:space="preserve"> y mejoras en la biodiversidad de peces y macroinvertebrados.</w:t>
      </w:r>
    </w:p>
    <w:p w:rsidR="00552062" w:rsidRDefault="00552062" w:rsidP="00213FDE">
      <w:pPr>
        <w:pStyle w:val="APAparrafo"/>
      </w:pPr>
      <w:r>
        <w:rPr>
          <w:rFonts w:ascii="Segoe UI Symbol" w:hAnsi="Segoe UI Symbol" w:cs="Segoe UI Symbol"/>
        </w:rPr>
        <w:t>💧</w:t>
      </w:r>
      <w:r>
        <w:t xml:space="preserve"> Este caso representa un modelo replicable en lagunas altoandinas y otros ecosistemas lacustres contaminados.</w:t>
      </w:r>
    </w:p>
    <w:p w:rsidR="00552062" w:rsidRDefault="00552062" w:rsidP="00552062">
      <w:pPr>
        <w:pStyle w:val="NormalWeb"/>
        <w:rPr>
          <w:b/>
        </w:rPr>
      </w:pPr>
      <w:r w:rsidRPr="00552062">
        <w:rPr>
          <w:b/>
        </w:rPr>
        <w:t>5.3 Fitorremediación con apoyo microbiano en suelos agrícolas: Cajamarca y Áncash</w:t>
      </w:r>
    </w:p>
    <w:p w:rsidR="00552062" w:rsidRDefault="00552062" w:rsidP="00213FDE">
      <w:pPr>
        <w:pStyle w:val="APAparrafo"/>
      </w:pPr>
      <w:r>
        <w:t xml:space="preserve">Proyectos de </w:t>
      </w:r>
      <w:r>
        <w:rPr>
          <w:rStyle w:val="Textoennegrita"/>
        </w:rPr>
        <w:t>fitorremediación asistida</w:t>
      </w:r>
      <w:r>
        <w:t xml:space="preserve"> han sido probados en terrenos agrícolas afectados por lixiviados mineros. En la región </w:t>
      </w:r>
      <w:r>
        <w:rPr>
          <w:rStyle w:val="Textoennegrita"/>
        </w:rPr>
        <w:t>Cajamarca</w:t>
      </w:r>
      <w:r>
        <w:t xml:space="preserve">, se combinaron cultivos de </w:t>
      </w:r>
      <w:r>
        <w:rPr>
          <w:rStyle w:val="Textoennegrita"/>
        </w:rPr>
        <w:t>vetiver (</w:t>
      </w:r>
      <w:r>
        <w:rPr>
          <w:rStyle w:val="nfasis"/>
          <w:b/>
          <w:bCs/>
        </w:rPr>
        <w:t>Chrysopogon zizanioides</w:t>
      </w:r>
      <w:r>
        <w:rPr>
          <w:rStyle w:val="Textoennegrita"/>
        </w:rPr>
        <w:t>)</w:t>
      </w:r>
      <w:r>
        <w:t xml:space="preserve"> con bacterias del género </w:t>
      </w:r>
      <w:r>
        <w:rPr>
          <w:rStyle w:val="nfasis"/>
        </w:rPr>
        <w:t>Pseudomonas</w:t>
      </w:r>
      <w:r>
        <w:t xml:space="preserve"> para recuperar suelos con presencia de arsénico y zinc.</w:t>
      </w:r>
    </w:p>
    <w:p w:rsidR="00552062" w:rsidRDefault="00552062" w:rsidP="00213FDE">
      <w:pPr>
        <w:pStyle w:val="APAparrafo"/>
      </w:pPr>
      <w:r>
        <w:t xml:space="preserve">Después de 90 días de tratamiento, se logró una </w:t>
      </w:r>
      <w:r>
        <w:rPr>
          <w:rStyle w:val="Textoennegrita"/>
        </w:rPr>
        <w:t>disminución del 35–50 %</w:t>
      </w:r>
      <w:r>
        <w:t xml:space="preserve"> en las concentraciones de metales pesados en el suelo.</w:t>
      </w:r>
    </w:p>
    <w:p w:rsidR="00552062" w:rsidRDefault="00552062" w:rsidP="00213FDE">
      <w:pPr>
        <w:pStyle w:val="APAparrafo"/>
      </w:pPr>
      <w:r>
        <w:t>Además, se observó un aumento de biomasa vegetal y recuperación parcial de la fertilidad del suelo.</w:t>
      </w:r>
    </w:p>
    <w:p w:rsidR="00552062" w:rsidRDefault="00552062" w:rsidP="00213FDE">
      <w:pPr>
        <w:pStyle w:val="APAparrafo"/>
      </w:pPr>
      <w:r>
        <w:rPr>
          <w:rFonts w:ascii="Segoe UI Symbol" w:hAnsi="Segoe UI Symbol" w:cs="Segoe UI Symbol"/>
        </w:rPr>
        <w:t>🌱</w:t>
      </w:r>
      <w:r>
        <w:t xml:space="preserve"> Este enfoque es ideal para zonas rurales donde se busca recuperar terrenos para cultivo sin causar más daño al ecosistema.</w:t>
      </w:r>
    </w:p>
    <w:p w:rsidR="00552062" w:rsidRDefault="00552062" w:rsidP="00552062">
      <w:pPr>
        <w:pStyle w:val="NormalWeb"/>
        <w:rPr>
          <w:b/>
        </w:rPr>
      </w:pPr>
      <w:r w:rsidRPr="00552062">
        <w:rPr>
          <w:b/>
        </w:rPr>
        <w:t>Resumen de aplicaciones exitosas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5"/>
        <w:gridCol w:w="2707"/>
        <w:gridCol w:w="3228"/>
        <w:gridCol w:w="3026"/>
      </w:tblGrid>
      <w:tr w:rsidR="00552062" w:rsidRPr="00552062" w:rsidTr="00552062">
        <w:trPr>
          <w:tblHeader/>
          <w:tblCellSpacing w:w="15" w:type="dxa"/>
        </w:trPr>
        <w:tc>
          <w:tcPr>
            <w:tcW w:w="0" w:type="auto"/>
            <w:vAlign w:val="center"/>
            <w:hideMark/>
          </w:tcPr>
          <w:p w:rsidR="00552062" w:rsidRPr="00552062" w:rsidRDefault="00552062" w:rsidP="00552062">
            <w:pPr>
              <w:jc w:val="center"/>
              <w:rPr>
                <w:b/>
                <w:bCs/>
                <w:sz w:val="24"/>
                <w:szCs w:val="24"/>
                <w:lang w:eastAsia="es-PE"/>
              </w:rPr>
            </w:pPr>
            <w:r w:rsidRPr="00552062">
              <w:rPr>
                <w:b/>
                <w:bCs/>
                <w:sz w:val="24"/>
                <w:szCs w:val="24"/>
                <w:lang w:eastAsia="es-PE"/>
              </w:rPr>
              <w:t>Región</w:t>
            </w:r>
          </w:p>
        </w:tc>
        <w:tc>
          <w:tcPr>
            <w:tcW w:w="0" w:type="auto"/>
            <w:vAlign w:val="center"/>
            <w:hideMark/>
          </w:tcPr>
          <w:p w:rsidR="00552062" w:rsidRPr="00552062" w:rsidRDefault="00552062" w:rsidP="00552062">
            <w:pPr>
              <w:jc w:val="center"/>
              <w:rPr>
                <w:b/>
                <w:bCs/>
                <w:sz w:val="24"/>
                <w:szCs w:val="24"/>
                <w:lang w:eastAsia="es-PE"/>
              </w:rPr>
            </w:pPr>
            <w:r w:rsidRPr="00552062">
              <w:rPr>
                <w:b/>
                <w:bCs/>
                <w:sz w:val="24"/>
                <w:szCs w:val="24"/>
                <w:lang w:eastAsia="es-PE"/>
              </w:rPr>
              <w:t>Problema</w:t>
            </w:r>
          </w:p>
        </w:tc>
        <w:tc>
          <w:tcPr>
            <w:tcW w:w="0" w:type="auto"/>
            <w:vAlign w:val="center"/>
            <w:hideMark/>
          </w:tcPr>
          <w:p w:rsidR="00552062" w:rsidRPr="00552062" w:rsidRDefault="00552062" w:rsidP="00552062">
            <w:pPr>
              <w:jc w:val="center"/>
              <w:rPr>
                <w:b/>
                <w:bCs/>
                <w:sz w:val="24"/>
                <w:szCs w:val="24"/>
                <w:lang w:eastAsia="es-PE"/>
              </w:rPr>
            </w:pPr>
            <w:r w:rsidRPr="00552062">
              <w:rPr>
                <w:b/>
                <w:bCs/>
                <w:sz w:val="24"/>
                <w:szCs w:val="24"/>
                <w:lang w:eastAsia="es-PE"/>
              </w:rPr>
              <w:t>Solución aplicada</w:t>
            </w:r>
          </w:p>
        </w:tc>
        <w:tc>
          <w:tcPr>
            <w:tcW w:w="0" w:type="auto"/>
            <w:vAlign w:val="center"/>
            <w:hideMark/>
          </w:tcPr>
          <w:p w:rsidR="00552062" w:rsidRPr="00552062" w:rsidRDefault="00552062" w:rsidP="00552062">
            <w:pPr>
              <w:jc w:val="center"/>
              <w:rPr>
                <w:b/>
                <w:bCs/>
                <w:sz w:val="24"/>
                <w:szCs w:val="24"/>
                <w:lang w:eastAsia="es-PE"/>
              </w:rPr>
            </w:pPr>
            <w:r w:rsidRPr="00552062">
              <w:rPr>
                <w:b/>
                <w:bCs/>
                <w:sz w:val="24"/>
                <w:szCs w:val="24"/>
                <w:lang w:eastAsia="es-PE"/>
              </w:rPr>
              <w:t>Resultados</w:t>
            </w:r>
          </w:p>
        </w:tc>
      </w:tr>
      <w:tr w:rsidR="00552062" w:rsidRPr="00552062" w:rsidTr="00552062">
        <w:trPr>
          <w:tblCellSpacing w:w="15" w:type="dxa"/>
        </w:trPr>
        <w:tc>
          <w:tcPr>
            <w:tcW w:w="0" w:type="auto"/>
            <w:vAlign w:val="center"/>
            <w:hideMark/>
          </w:tcPr>
          <w:p w:rsidR="00552062" w:rsidRPr="00552062" w:rsidRDefault="00552062" w:rsidP="00552062">
            <w:pPr>
              <w:rPr>
                <w:sz w:val="24"/>
                <w:szCs w:val="24"/>
                <w:lang w:eastAsia="es-PE"/>
              </w:rPr>
            </w:pPr>
            <w:r w:rsidRPr="00552062">
              <w:rPr>
                <w:sz w:val="24"/>
                <w:szCs w:val="24"/>
                <w:lang w:eastAsia="es-PE"/>
              </w:rPr>
              <w:t>Cerro de Pasco</w:t>
            </w:r>
          </w:p>
        </w:tc>
        <w:tc>
          <w:tcPr>
            <w:tcW w:w="0" w:type="auto"/>
            <w:vAlign w:val="center"/>
            <w:hideMark/>
          </w:tcPr>
          <w:p w:rsidR="00552062" w:rsidRPr="00552062" w:rsidRDefault="00552062" w:rsidP="00552062">
            <w:pPr>
              <w:rPr>
                <w:sz w:val="24"/>
                <w:szCs w:val="24"/>
                <w:lang w:eastAsia="es-PE"/>
              </w:rPr>
            </w:pPr>
            <w:r w:rsidRPr="00552062">
              <w:rPr>
                <w:sz w:val="24"/>
                <w:szCs w:val="24"/>
                <w:lang w:eastAsia="es-PE"/>
              </w:rPr>
              <w:t>Suelo con metales pesados</w:t>
            </w:r>
          </w:p>
        </w:tc>
        <w:tc>
          <w:tcPr>
            <w:tcW w:w="0" w:type="auto"/>
            <w:vAlign w:val="center"/>
            <w:hideMark/>
          </w:tcPr>
          <w:p w:rsidR="00552062" w:rsidRPr="00552062" w:rsidRDefault="00552062" w:rsidP="00552062">
            <w:pPr>
              <w:rPr>
                <w:sz w:val="24"/>
                <w:szCs w:val="24"/>
                <w:lang w:eastAsia="es-PE"/>
              </w:rPr>
            </w:pPr>
            <w:r w:rsidRPr="00552062">
              <w:rPr>
                <w:sz w:val="24"/>
                <w:szCs w:val="24"/>
                <w:lang w:eastAsia="es-PE"/>
              </w:rPr>
              <w:t xml:space="preserve">Bioaumentación con </w:t>
            </w:r>
            <w:r w:rsidRPr="00552062">
              <w:rPr>
                <w:i/>
                <w:iCs/>
                <w:sz w:val="24"/>
                <w:szCs w:val="24"/>
                <w:lang w:eastAsia="es-PE"/>
              </w:rPr>
              <w:t>Bacillus cereus</w:t>
            </w:r>
          </w:p>
        </w:tc>
        <w:tc>
          <w:tcPr>
            <w:tcW w:w="0" w:type="auto"/>
            <w:vAlign w:val="center"/>
            <w:hideMark/>
          </w:tcPr>
          <w:p w:rsidR="00552062" w:rsidRPr="00552062" w:rsidRDefault="00552062" w:rsidP="00552062">
            <w:pPr>
              <w:rPr>
                <w:sz w:val="24"/>
                <w:szCs w:val="24"/>
                <w:lang w:eastAsia="es-PE"/>
              </w:rPr>
            </w:pPr>
            <w:r w:rsidRPr="00552062">
              <w:rPr>
                <w:sz w:val="24"/>
                <w:szCs w:val="24"/>
                <w:lang w:eastAsia="es-PE"/>
              </w:rPr>
              <w:t>Reducción de movilidad de Pb en 45 %</w:t>
            </w:r>
          </w:p>
        </w:tc>
      </w:tr>
      <w:tr w:rsidR="00552062" w:rsidRPr="00552062" w:rsidTr="00552062">
        <w:trPr>
          <w:tblCellSpacing w:w="15" w:type="dxa"/>
        </w:trPr>
        <w:tc>
          <w:tcPr>
            <w:tcW w:w="0" w:type="auto"/>
            <w:vAlign w:val="center"/>
            <w:hideMark/>
          </w:tcPr>
          <w:p w:rsidR="00552062" w:rsidRPr="00552062" w:rsidRDefault="00552062" w:rsidP="00552062">
            <w:pPr>
              <w:rPr>
                <w:sz w:val="24"/>
                <w:szCs w:val="24"/>
                <w:lang w:eastAsia="es-PE"/>
              </w:rPr>
            </w:pPr>
            <w:r w:rsidRPr="00552062">
              <w:rPr>
                <w:sz w:val="24"/>
                <w:szCs w:val="24"/>
                <w:lang w:eastAsia="es-PE"/>
              </w:rPr>
              <w:t>Puno</w:t>
            </w:r>
          </w:p>
        </w:tc>
        <w:tc>
          <w:tcPr>
            <w:tcW w:w="0" w:type="auto"/>
            <w:vAlign w:val="center"/>
            <w:hideMark/>
          </w:tcPr>
          <w:p w:rsidR="00552062" w:rsidRPr="00552062" w:rsidRDefault="00552062" w:rsidP="00552062">
            <w:pPr>
              <w:rPr>
                <w:sz w:val="24"/>
                <w:szCs w:val="24"/>
                <w:lang w:eastAsia="es-PE"/>
              </w:rPr>
            </w:pPr>
            <w:r w:rsidRPr="00552062">
              <w:rPr>
                <w:sz w:val="24"/>
                <w:szCs w:val="24"/>
                <w:lang w:eastAsia="es-PE"/>
              </w:rPr>
              <w:t>Contaminación del Lago Titicaca</w:t>
            </w:r>
          </w:p>
        </w:tc>
        <w:tc>
          <w:tcPr>
            <w:tcW w:w="0" w:type="auto"/>
            <w:vAlign w:val="center"/>
            <w:hideMark/>
          </w:tcPr>
          <w:p w:rsidR="00552062" w:rsidRPr="00552062" w:rsidRDefault="00552062" w:rsidP="00552062">
            <w:pPr>
              <w:rPr>
                <w:sz w:val="24"/>
                <w:szCs w:val="24"/>
                <w:lang w:eastAsia="es-PE"/>
              </w:rPr>
            </w:pPr>
            <w:r w:rsidRPr="00552062">
              <w:rPr>
                <w:sz w:val="24"/>
                <w:szCs w:val="24"/>
                <w:lang w:eastAsia="es-PE"/>
              </w:rPr>
              <w:t>Biofiltros con bacterias nativas</w:t>
            </w:r>
          </w:p>
        </w:tc>
        <w:tc>
          <w:tcPr>
            <w:tcW w:w="0" w:type="auto"/>
            <w:vAlign w:val="center"/>
            <w:hideMark/>
          </w:tcPr>
          <w:p w:rsidR="00552062" w:rsidRPr="00552062" w:rsidRDefault="00552062" w:rsidP="00552062">
            <w:pPr>
              <w:rPr>
                <w:sz w:val="24"/>
                <w:szCs w:val="24"/>
                <w:lang w:eastAsia="es-PE"/>
              </w:rPr>
            </w:pPr>
            <w:r w:rsidRPr="00552062">
              <w:rPr>
                <w:sz w:val="24"/>
                <w:szCs w:val="24"/>
                <w:lang w:eastAsia="es-PE"/>
              </w:rPr>
              <w:t>Reducción de DBO en 60 %</w:t>
            </w:r>
          </w:p>
        </w:tc>
      </w:tr>
      <w:tr w:rsidR="00552062" w:rsidRPr="00552062" w:rsidTr="00552062">
        <w:trPr>
          <w:tblCellSpacing w:w="15" w:type="dxa"/>
        </w:trPr>
        <w:tc>
          <w:tcPr>
            <w:tcW w:w="0" w:type="auto"/>
            <w:vAlign w:val="center"/>
            <w:hideMark/>
          </w:tcPr>
          <w:p w:rsidR="00552062" w:rsidRPr="00552062" w:rsidRDefault="00552062" w:rsidP="00552062">
            <w:pPr>
              <w:rPr>
                <w:sz w:val="24"/>
                <w:szCs w:val="24"/>
                <w:lang w:eastAsia="es-PE"/>
              </w:rPr>
            </w:pPr>
            <w:r w:rsidRPr="00552062">
              <w:rPr>
                <w:sz w:val="24"/>
                <w:szCs w:val="24"/>
                <w:lang w:eastAsia="es-PE"/>
              </w:rPr>
              <w:t>Cajamarca</w:t>
            </w:r>
          </w:p>
        </w:tc>
        <w:tc>
          <w:tcPr>
            <w:tcW w:w="0" w:type="auto"/>
            <w:vAlign w:val="center"/>
            <w:hideMark/>
          </w:tcPr>
          <w:p w:rsidR="00552062" w:rsidRPr="00552062" w:rsidRDefault="00552062" w:rsidP="00552062">
            <w:pPr>
              <w:rPr>
                <w:sz w:val="24"/>
                <w:szCs w:val="24"/>
                <w:lang w:eastAsia="es-PE"/>
              </w:rPr>
            </w:pPr>
            <w:r w:rsidRPr="00552062">
              <w:rPr>
                <w:sz w:val="24"/>
                <w:szCs w:val="24"/>
                <w:lang w:eastAsia="es-PE"/>
              </w:rPr>
              <w:t>Suelo agrícola contaminado</w:t>
            </w:r>
          </w:p>
        </w:tc>
        <w:tc>
          <w:tcPr>
            <w:tcW w:w="0" w:type="auto"/>
            <w:vAlign w:val="center"/>
            <w:hideMark/>
          </w:tcPr>
          <w:p w:rsidR="00552062" w:rsidRPr="00552062" w:rsidRDefault="00552062" w:rsidP="00552062">
            <w:pPr>
              <w:rPr>
                <w:sz w:val="24"/>
                <w:szCs w:val="24"/>
                <w:lang w:eastAsia="es-PE"/>
              </w:rPr>
            </w:pPr>
            <w:r w:rsidRPr="00552062">
              <w:rPr>
                <w:sz w:val="24"/>
                <w:szCs w:val="24"/>
                <w:lang w:eastAsia="es-PE"/>
              </w:rPr>
              <w:t>Fitorremediación con vetiver + bacterias</w:t>
            </w:r>
          </w:p>
        </w:tc>
        <w:tc>
          <w:tcPr>
            <w:tcW w:w="0" w:type="auto"/>
            <w:vAlign w:val="center"/>
            <w:hideMark/>
          </w:tcPr>
          <w:p w:rsidR="00552062" w:rsidRPr="00552062" w:rsidRDefault="00552062" w:rsidP="00552062">
            <w:pPr>
              <w:rPr>
                <w:sz w:val="24"/>
                <w:szCs w:val="24"/>
                <w:lang w:eastAsia="es-PE"/>
              </w:rPr>
            </w:pPr>
            <w:r w:rsidRPr="00552062">
              <w:rPr>
                <w:sz w:val="24"/>
                <w:szCs w:val="24"/>
                <w:lang w:eastAsia="es-PE"/>
              </w:rPr>
              <w:t>Reducción de As y Zn en 50 %</w:t>
            </w:r>
          </w:p>
        </w:tc>
      </w:tr>
      <w:tr w:rsidR="00552062" w:rsidRPr="00552062" w:rsidTr="00552062">
        <w:trPr>
          <w:tblCellSpacing w:w="15" w:type="dxa"/>
        </w:trPr>
        <w:tc>
          <w:tcPr>
            <w:tcW w:w="0" w:type="auto"/>
            <w:vAlign w:val="center"/>
            <w:hideMark/>
          </w:tcPr>
          <w:p w:rsidR="00552062" w:rsidRPr="00552062" w:rsidRDefault="00552062" w:rsidP="00552062">
            <w:pPr>
              <w:rPr>
                <w:sz w:val="24"/>
                <w:szCs w:val="24"/>
                <w:lang w:eastAsia="es-PE"/>
              </w:rPr>
            </w:pPr>
            <w:r w:rsidRPr="00552062">
              <w:rPr>
                <w:sz w:val="24"/>
                <w:szCs w:val="24"/>
                <w:lang w:eastAsia="es-PE"/>
              </w:rPr>
              <w:lastRenderedPageBreak/>
              <w:t>Piura</w:t>
            </w:r>
          </w:p>
        </w:tc>
        <w:tc>
          <w:tcPr>
            <w:tcW w:w="0" w:type="auto"/>
            <w:vAlign w:val="center"/>
            <w:hideMark/>
          </w:tcPr>
          <w:p w:rsidR="00552062" w:rsidRPr="00552062" w:rsidRDefault="00552062" w:rsidP="00552062">
            <w:pPr>
              <w:rPr>
                <w:sz w:val="24"/>
                <w:szCs w:val="24"/>
                <w:lang w:eastAsia="es-PE"/>
              </w:rPr>
            </w:pPr>
            <w:r w:rsidRPr="00552062">
              <w:rPr>
                <w:sz w:val="24"/>
                <w:szCs w:val="24"/>
                <w:lang w:eastAsia="es-PE"/>
              </w:rPr>
              <w:t>Suelo con hidrocarburos</w:t>
            </w:r>
          </w:p>
        </w:tc>
        <w:tc>
          <w:tcPr>
            <w:tcW w:w="0" w:type="auto"/>
            <w:vAlign w:val="center"/>
            <w:hideMark/>
          </w:tcPr>
          <w:p w:rsidR="00552062" w:rsidRPr="00552062" w:rsidRDefault="00552062" w:rsidP="00552062">
            <w:pPr>
              <w:rPr>
                <w:sz w:val="24"/>
                <w:szCs w:val="24"/>
                <w:lang w:eastAsia="es-PE"/>
              </w:rPr>
            </w:pPr>
            <w:r w:rsidRPr="00552062">
              <w:rPr>
                <w:sz w:val="24"/>
                <w:szCs w:val="24"/>
                <w:lang w:eastAsia="es-PE"/>
              </w:rPr>
              <w:t>Biopilas con residuos agrícolas</w:t>
            </w:r>
          </w:p>
        </w:tc>
        <w:tc>
          <w:tcPr>
            <w:tcW w:w="0" w:type="auto"/>
            <w:vAlign w:val="center"/>
            <w:hideMark/>
          </w:tcPr>
          <w:p w:rsidR="00552062" w:rsidRPr="00552062" w:rsidRDefault="00552062" w:rsidP="00552062">
            <w:pPr>
              <w:rPr>
                <w:sz w:val="24"/>
                <w:szCs w:val="24"/>
                <w:lang w:eastAsia="es-PE"/>
              </w:rPr>
            </w:pPr>
            <w:r w:rsidRPr="00552062">
              <w:rPr>
                <w:sz w:val="24"/>
                <w:szCs w:val="24"/>
                <w:lang w:eastAsia="es-PE"/>
              </w:rPr>
              <w:t>Degradación de diésel en 80–90 %</w:t>
            </w:r>
          </w:p>
        </w:tc>
      </w:tr>
    </w:tbl>
    <w:p w:rsidR="00552062" w:rsidRDefault="00552062" w:rsidP="00552062">
      <w:pPr>
        <w:pStyle w:val="NormalWeb"/>
        <w:rPr>
          <w:b/>
        </w:rPr>
      </w:pPr>
    </w:p>
    <w:p w:rsidR="00552062" w:rsidRDefault="00552062" w:rsidP="00552062">
      <w:pPr>
        <w:pStyle w:val="NormalWeb"/>
        <w:rPr>
          <w:b/>
        </w:rPr>
      </w:pPr>
    </w:p>
    <w:p w:rsidR="00552062" w:rsidRDefault="00552062" w:rsidP="00552062">
      <w:pPr>
        <w:pStyle w:val="NormalWeb"/>
        <w:rPr>
          <w:b/>
        </w:rPr>
      </w:pPr>
    </w:p>
    <w:p w:rsidR="00552062" w:rsidRDefault="00192075" w:rsidP="00192075">
      <w:pPr>
        <w:pStyle w:val="Els-1storder-head"/>
        <w:numPr>
          <w:ilvl w:val="0"/>
          <w:numId w:val="0"/>
        </w:numPr>
      </w:pPr>
      <w:r>
        <w:t>6.</w:t>
      </w:r>
      <w:r w:rsidR="00552062">
        <w:t>Desafíos y perspectivas para la biorremediación en el Perú</w:t>
      </w:r>
    </w:p>
    <w:p w:rsidR="00552062" w:rsidRDefault="00552062" w:rsidP="00213FDE">
      <w:pPr>
        <w:pStyle w:val="APAparrafo"/>
      </w:pPr>
      <w:r>
        <w:t>Aunque la biorremediación se presenta como una alternativa ecológica, económica y eficiente para enfrentar la contaminación, su implementación en el Perú enfrenta múltiples obstáculos de carácter técnico, institucional, educativo y social. Identificar estos retos y proponer soluciones realistas es fundamental para consolidar esta estrategia como política ambiental a largo plazo.</w:t>
      </w:r>
    </w:p>
    <w:p w:rsidR="00552062" w:rsidRDefault="00552062" w:rsidP="00552062">
      <w:pPr>
        <w:pStyle w:val="Els-body-text"/>
      </w:pPr>
    </w:p>
    <w:p w:rsidR="00552062" w:rsidRPr="00192075" w:rsidRDefault="00192075" w:rsidP="00552062">
      <w:pPr>
        <w:pStyle w:val="Els-body-text"/>
        <w:rPr>
          <w:b/>
          <w:sz w:val="24"/>
        </w:rPr>
      </w:pPr>
      <w:r>
        <w:rPr>
          <w:b/>
          <w:sz w:val="24"/>
        </w:rPr>
        <w:t>6</w:t>
      </w:r>
      <w:r w:rsidR="00552062" w:rsidRPr="00192075">
        <w:rPr>
          <w:b/>
          <w:sz w:val="24"/>
        </w:rPr>
        <w:t>.1 Limitaciones técnicas y científicas</w:t>
      </w:r>
    </w:p>
    <w:p w:rsidR="00192075" w:rsidRPr="00192075" w:rsidRDefault="00192075" w:rsidP="00213FDE">
      <w:pPr>
        <w:pStyle w:val="APAparrafo"/>
        <w:rPr>
          <w:lang w:eastAsia="es-PE"/>
        </w:rPr>
      </w:pPr>
      <w:r w:rsidRPr="00192075">
        <w:t xml:space="preserve">Uno de los principales desafíos es el </w:t>
      </w:r>
      <w:r w:rsidRPr="00192075">
        <w:rPr>
          <w:rStyle w:val="Textoennegrita"/>
          <w:sz w:val="22"/>
        </w:rPr>
        <w:t>desarrollo limitado de investigación aplicada y tecnología adaptada a los ecosistemas peruanos</w:t>
      </w:r>
      <w:r w:rsidRPr="00192075">
        <w:t>. Aunque existen universidades y centros como el Instituto Geofísico del Perú (IGP), CENSOPAS o algunos laboratorios regionales que investigan microorganismos autóctonos, el acceso a infraestructura avanzada, cultivos puros, reactores biológicos y análisis genéticos aún es restringido.</w:t>
      </w:r>
    </w:p>
    <w:p w:rsidR="00192075" w:rsidRPr="00192075" w:rsidRDefault="00192075" w:rsidP="00192075">
      <w:pPr>
        <w:pStyle w:val="NormalWeb"/>
        <w:rPr>
          <w:sz w:val="22"/>
        </w:rPr>
      </w:pPr>
      <w:r w:rsidRPr="00192075">
        <w:rPr>
          <w:sz w:val="22"/>
        </w:rPr>
        <w:t>Además:</w:t>
      </w:r>
    </w:p>
    <w:p w:rsidR="00192075" w:rsidRPr="00192075" w:rsidRDefault="00192075" w:rsidP="00213FDE">
      <w:pPr>
        <w:pStyle w:val="APAparrafo"/>
      </w:pPr>
      <w:r w:rsidRPr="00192075">
        <w:t xml:space="preserve">La mayoría de los estudios son </w:t>
      </w:r>
      <w:r w:rsidRPr="00192075">
        <w:rPr>
          <w:rStyle w:val="Textoennegrita"/>
          <w:sz w:val="22"/>
        </w:rPr>
        <w:t>a escala laboratorio o piloto</w:t>
      </w:r>
      <w:r w:rsidRPr="00192075">
        <w:t>, y pocos se han llevado a escala industrial o territorial.</w:t>
      </w:r>
    </w:p>
    <w:p w:rsidR="00192075" w:rsidRPr="00192075" w:rsidRDefault="00192075" w:rsidP="00213FDE">
      <w:pPr>
        <w:pStyle w:val="APAparrafo"/>
      </w:pPr>
      <w:r w:rsidRPr="00192075">
        <w:t>No hay un banco nacional de microorganismos nativos degradadores, lo que retrasa la selección de cepas efectivas.</w:t>
      </w:r>
    </w:p>
    <w:p w:rsidR="00192075" w:rsidRPr="00192075" w:rsidRDefault="00192075" w:rsidP="00213FDE">
      <w:pPr>
        <w:pStyle w:val="APAparrafo"/>
      </w:pPr>
      <w:r w:rsidRPr="00192075">
        <w:t xml:space="preserve">Muchos sitios contaminados (como suelos mineros, botaderos y ríos urbanos) </w:t>
      </w:r>
      <w:r w:rsidRPr="00192075">
        <w:rPr>
          <w:rStyle w:val="Textoennegrita"/>
          <w:sz w:val="22"/>
        </w:rPr>
        <w:t>contienen mezclas complejas de contaminantes</w:t>
      </w:r>
      <w:r w:rsidRPr="00192075">
        <w:t>, lo que dificulta la acción de una sola especie microbiana.</w:t>
      </w:r>
    </w:p>
    <w:p w:rsidR="00192075" w:rsidRPr="00192075" w:rsidRDefault="00192075" w:rsidP="00552062">
      <w:pPr>
        <w:pStyle w:val="Els-body-text"/>
        <w:rPr>
          <w:b/>
          <w:sz w:val="24"/>
        </w:rPr>
      </w:pPr>
      <w:r w:rsidRPr="00192075">
        <w:rPr>
          <w:b/>
          <w:sz w:val="24"/>
        </w:rPr>
        <w:lastRenderedPageBreak/>
        <w:t xml:space="preserve">6.2 </w:t>
      </w:r>
      <w:r w:rsidRPr="00192075">
        <w:rPr>
          <w:b/>
          <w:sz w:val="24"/>
        </w:rPr>
        <w:t>Barreras normativas e institucionales</w:t>
      </w:r>
    </w:p>
    <w:p w:rsidR="00192075" w:rsidRPr="00192075" w:rsidRDefault="00192075" w:rsidP="00213FDE">
      <w:pPr>
        <w:pStyle w:val="APAparrafo"/>
        <w:rPr>
          <w:lang w:eastAsia="es-PE"/>
        </w:rPr>
      </w:pPr>
      <w:r w:rsidRPr="00192075">
        <w:t xml:space="preserve">Actualmente, el marco normativo peruano </w:t>
      </w:r>
      <w:r w:rsidRPr="00192075">
        <w:rPr>
          <w:rStyle w:val="Textoennegrita"/>
          <w:sz w:val="22"/>
        </w:rPr>
        <w:t>reconoce la biorremediación como alternativa ambiental</w:t>
      </w:r>
      <w:r w:rsidRPr="00192075">
        <w:t>, pero su regulación es dispersa, poco específica y varía entre sectores (minería, agricultura, residuos sólidos).</w:t>
      </w:r>
    </w:p>
    <w:p w:rsidR="00192075" w:rsidRPr="00192075" w:rsidRDefault="00192075" w:rsidP="00213FDE">
      <w:pPr>
        <w:pStyle w:val="APAparrafo"/>
      </w:pPr>
      <w:r>
        <w:t>-</w:t>
      </w:r>
      <w:r w:rsidRPr="00192075">
        <w:t xml:space="preserve">No existe aún un </w:t>
      </w:r>
      <w:r w:rsidRPr="00192075">
        <w:rPr>
          <w:rStyle w:val="Textoennegrita"/>
          <w:sz w:val="22"/>
        </w:rPr>
        <w:t>protocolo nacional oficial de aplicación de biorremediación</w:t>
      </w:r>
      <w:r w:rsidRPr="00192075">
        <w:t xml:space="preserve"> ni estándares de evaluación de su eficacia.</w:t>
      </w:r>
    </w:p>
    <w:p w:rsidR="00192075" w:rsidRPr="00192075" w:rsidRDefault="00192075" w:rsidP="00213FDE">
      <w:pPr>
        <w:pStyle w:val="APAparrafo"/>
      </w:pPr>
      <w:r>
        <w:t>-</w:t>
      </w:r>
      <w:r w:rsidRPr="00192075">
        <w:t>Muchos gobiernos locales carecen de personal capacitado para evaluar propuestas de biorremediación o integrarlas en planes de remediación ambiental.</w:t>
      </w:r>
    </w:p>
    <w:p w:rsidR="00192075" w:rsidRDefault="00192075" w:rsidP="00213FDE">
      <w:pPr>
        <w:pStyle w:val="APAparrafo"/>
      </w:pPr>
      <w:r w:rsidRPr="00192075">
        <w:t xml:space="preserve">Además, la autorización de </w:t>
      </w:r>
      <w:r w:rsidRPr="00213FDE">
        <w:t>actividades</w:t>
      </w:r>
      <w:r w:rsidRPr="00192075">
        <w:t xml:space="preserve"> de biotecnología ambiental puede ser lenta y burocrática, lo que </w:t>
      </w:r>
      <w:r w:rsidRPr="00192075">
        <w:rPr>
          <w:rStyle w:val="Textoennegrita"/>
          <w:sz w:val="22"/>
        </w:rPr>
        <w:t>desincentiva la inversión de empresas o emprendimientos locales</w:t>
      </w:r>
      <w:r w:rsidRPr="00192075">
        <w:t>.</w:t>
      </w:r>
    </w:p>
    <w:p w:rsidR="00192075" w:rsidRPr="00192075" w:rsidRDefault="00192075" w:rsidP="00192075">
      <w:pPr>
        <w:pStyle w:val="NormalWeb"/>
        <w:rPr>
          <w:b/>
        </w:rPr>
      </w:pPr>
      <w:r w:rsidRPr="00192075">
        <w:rPr>
          <w:b/>
        </w:rPr>
        <w:t>conclucion</w:t>
      </w:r>
    </w:p>
    <w:p w:rsidR="00192075" w:rsidRDefault="00192075" w:rsidP="00213FDE">
      <w:pPr>
        <w:pStyle w:val="APAparrafo"/>
        <w:rPr>
          <w:lang w:eastAsia="es-PE"/>
        </w:rPr>
      </w:pPr>
      <w:r>
        <w:t>La contaminación del ambiente, causada por nuestras propias actividades —como la minería, la industria o el mal manejo de residuos—, es un problema que ya no podemos ignorar. En este contexto, la biodegradación y la biorremediación se presentan como alternativas viables, sostenibles y naturales para ayudar a recuperar los ecosistemas dañados. Estas estrategias aprovechan el trabajo de microorganismos como bacterias y hongos que, de forma sorprendente, pueden descomponer contaminantes y transformar sustancias tóxicas en otras más simples y seguras para el medio ambiente.</w:t>
      </w:r>
    </w:p>
    <w:p w:rsidR="00192075" w:rsidRDefault="00192075" w:rsidP="00213FDE">
      <w:pPr>
        <w:pStyle w:val="APAparrafo"/>
      </w:pPr>
      <w:r>
        <w:t>En el Perú, donde enfrentamos graves problemas de contaminación en zonas como la sierra central o la Amazonía, estas soluciones podrían tener un impacto muy positivo. Ya hay algunos casos donde se están usando microorganismos nativos para limpiar ríos o suelos afectados por residuos mineros o agrícolas, lo que demuestra que sí es posible aplicar este tipo de tecnología en nuestro propio territorio.</w:t>
      </w:r>
    </w:p>
    <w:p w:rsidR="00192075" w:rsidRDefault="00192075" w:rsidP="00213FDE">
      <w:pPr>
        <w:pStyle w:val="APAparrafo"/>
      </w:pPr>
      <w:r>
        <w:t xml:space="preserve">Eso sí, aún hay muchos retos por superar: falta más investigación, mejor apoyo del Estado, normativas claras y sobre todo, mayor difusión para que más personas conozcan y confíen en estas soluciones. Si logramos integrar a las comunidades, a los científicos, a los gobiernos y a los jóvenes estudiantes en esta </w:t>
      </w:r>
      <w:r>
        <w:lastRenderedPageBreak/>
        <w:t>causa, la biorremediación no solo será una herramienta técnica, sino también una esperanza real para sanar nuestros ecosistemas y construir un futuro más limpio y sostenible.</w:t>
      </w:r>
    </w:p>
    <w:p w:rsidR="00552062" w:rsidRPr="00552062" w:rsidRDefault="00552062" w:rsidP="00552062">
      <w:pPr>
        <w:pStyle w:val="NormalWeb"/>
        <w:rPr>
          <w:b/>
        </w:rPr>
      </w:pPr>
    </w:p>
    <w:p w:rsidR="00552062" w:rsidRPr="00552062" w:rsidRDefault="00552062" w:rsidP="00552062">
      <w:pPr>
        <w:pStyle w:val="NormalWeb"/>
        <w:rPr>
          <w:b/>
        </w:rPr>
      </w:pPr>
    </w:p>
    <w:p w:rsidR="00552062" w:rsidRPr="00BC4C72" w:rsidRDefault="00552062" w:rsidP="00197831">
      <w:pPr>
        <w:rPr>
          <w:sz w:val="22"/>
          <w:szCs w:val="22"/>
        </w:rPr>
      </w:pPr>
    </w:p>
    <w:p w:rsidR="00BC4C72" w:rsidRPr="00BC4C72" w:rsidRDefault="00BC4C72" w:rsidP="00197831">
      <w:pPr>
        <w:rPr>
          <w:sz w:val="22"/>
          <w:szCs w:val="22"/>
        </w:rPr>
      </w:pPr>
    </w:p>
    <w:p w:rsidR="00BC4C72" w:rsidRPr="00BC4C72" w:rsidRDefault="00BC4C72" w:rsidP="00197831">
      <w:pPr>
        <w:rPr>
          <w:sz w:val="22"/>
          <w:szCs w:val="22"/>
        </w:rPr>
      </w:pPr>
    </w:p>
    <w:p w:rsidR="00BC4C72" w:rsidRPr="00BC4C72" w:rsidRDefault="00BC4C72" w:rsidP="00197831">
      <w:pPr>
        <w:rPr>
          <w:sz w:val="22"/>
          <w:szCs w:val="22"/>
        </w:rPr>
      </w:pPr>
    </w:p>
    <w:p w:rsidR="00BC4C72" w:rsidRPr="00BC4C72" w:rsidRDefault="00BC4C72" w:rsidP="00197831">
      <w:pPr>
        <w:rPr>
          <w:sz w:val="22"/>
          <w:szCs w:val="22"/>
        </w:rPr>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sectPr w:rsidR="0098324A" w:rsidRPr="00523B54" w:rsidSect="008C10F1">
      <w:headerReference w:type="even" r:id="rId8"/>
      <w:headerReference w:type="default" r:id="rId9"/>
      <w:footerReference w:type="even" r:id="rId10"/>
      <w:footerReference w:type="default" r:id="rId11"/>
      <w:headerReference w:type="first" r:id="rId12"/>
      <w:footnotePr>
        <w:numFmt w:val="chicago"/>
      </w:footnotePr>
      <w:type w:val="nextColumn"/>
      <w:pgSz w:w="11907" w:h="16839" w:code="9"/>
      <w:pgMar w:top="20" w:right="794" w:bottom="1021" w:left="737" w:header="907" w:footer="38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E0C" w:rsidRDefault="00666E0C">
      <w:r>
        <w:separator/>
      </w:r>
    </w:p>
  </w:endnote>
  <w:endnote w:type="continuationSeparator" w:id="0">
    <w:p w:rsidR="00666E0C" w:rsidRDefault="00666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Bold r:id="rId1" w:fontKey="{A18CF098-69AC-4C16-8C2E-356CD99D305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2" w:fontKey="{BB0F7B18-525E-4AC6-A6BE-29A2E9FAD147}"/>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1D003CB8-125D-468E-BCC4-7DA97F988326}"/>
    <w:embedBold r:id="rId4" w:fontKey="{5BA46E7C-1C86-4D7F-982D-9C9B42775E32}"/>
    <w:embedItalic r:id="rId5" w:fontKey="{F155B7A9-6665-4C0E-BE84-19AB1B136996}"/>
    <w:embedBoldItalic r:id="rId6" w:fontKey="{958D2827-7D87-4AB3-8E2B-A969FFB35DFC}"/>
  </w:font>
  <w:font w:name="Segoe UI Symbol">
    <w:panose1 w:val="020B0502040204020203"/>
    <w:charset w:val="00"/>
    <w:family w:val="swiss"/>
    <w:pitch w:val="variable"/>
    <w:sig w:usb0="800001E3" w:usb1="1200FFEF" w:usb2="00040000" w:usb3="00000000" w:csb0="00000001" w:csb1="00000000"/>
    <w:embedRegular r:id="rId7" w:fontKey="{ECB042C4-743B-4483-9564-F2F267765D60}"/>
  </w:font>
  <w:font w:name="Cambria">
    <w:panose1 w:val="02040503050406030204"/>
    <w:charset w:val="00"/>
    <w:family w:val="roman"/>
    <w:pitch w:val="variable"/>
    <w:sig w:usb0="A00002EF" w:usb1="4000004B" w:usb2="00000000" w:usb3="00000000" w:csb0="0000009F" w:csb1="00000000"/>
    <w:embedRegular r:id="rId8" w:fontKey="{6D5B8C5D-CCB1-492D-AEF8-F6A3227BADB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062" w:rsidRDefault="00552062"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13FDE">
      <w:rPr>
        <w:rStyle w:val="Nmerodepgina"/>
      </w:rPr>
      <w:t>10</w:t>
    </w:r>
    <w:r>
      <w:rPr>
        <w:rStyle w:val="Nmerodepgina"/>
      </w:rPr>
      <w:fldChar w:fldCharType="end"/>
    </w:r>
  </w:p>
  <w:p w:rsidR="00552062" w:rsidRDefault="0055206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062" w:rsidRDefault="00552062"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13FDE">
      <w:rPr>
        <w:rStyle w:val="Nmerodepgina"/>
      </w:rPr>
      <w:t>9</w:t>
    </w:r>
    <w:r>
      <w:rPr>
        <w:rStyle w:val="Nmerodepgina"/>
      </w:rPr>
      <w:fldChar w:fldCharType="end"/>
    </w:r>
  </w:p>
  <w:p w:rsidR="00552062" w:rsidRDefault="0055206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E0C" w:rsidRPr="009C2BBA" w:rsidRDefault="00666E0C" w:rsidP="009C2BBA">
      <w:pPr>
        <w:pStyle w:val="Piedepgina"/>
        <w:rPr>
          <w:lang w:val="en-GB"/>
        </w:rPr>
      </w:pPr>
      <w:r>
        <w:rPr>
          <w:lang w:val="es-PE" w:eastAsia="es-PE"/>
        </w:rPr>
        <w:drawing>
          <wp:inline distT="0" distB="0" distL="0" distR="0">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rsidR="00666E0C" w:rsidRDefault="00666E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062" w:rsidRPr="000A0CD7" w:rsidRDefault="00552062" w:rsidP="00714795">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w:t>
    </w:r>
    <w:r>
      <w:rPr>
        <w:lang w:val="es-PE"/>
      </w:rPr>
      <w:t>EAP. Ingeniería Ambiental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062" w:rsidRPr="00203401" w:rsidRDefault="00552062" w:rsidP="00203401">
    <w:pPr>
      <w:pStyle w:val="Encabezado"/>
      <w:tabs>
        <w:tab w:val="center" w:pos="4920"/>
      </w:tabs>
      <w:rPr>
        <w:lang w:val="es-PE"/>
      </w:rPr>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062" w:rsidRPr="004C65C6" w:rsidRDefault="00552062" w:rsidP="004C65C6">
    <w:pPr>
      <w:pStyle w:val="Encabezado"/>
      <w:rPr>
        <w:sz w:val="10"/>
        <w:lang w:val="es-PE"/>
      </w:rPr>
    </w:pPr>
    <w:r>
      <w:rPr>
        <w:lang w:val="es-PE" w:eastAsia="es-PE"/>
      </w:rPr>
      <w:drawing>
        <wp:inline distT="0" distB="0" distL="0" distR="0">
          <wp:extent cx="1765935" cy="51435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png"/>
                  <pic:cNvPicPr/>
                </pic:nvPicPr>
                <pic:blipFill>
                  <a:blip r:embed="rId1">
                    <a:extLst>
                      <a:ext uri="{28A0092B-C50C-407E-A947-70E740481C1C}">
                        <a14:useLocalDpi xmlns:a14="http://schemas.microsoft.com/office/drawing/2010/main" val="0"/>
                      </a:ext>
                    </a:extLst>
                  </a:blip>
                  <a:stretch>
                    <a:fillRect/>
                  </a:stretch>
                </pic:blipFill>
                <pic:spPr>
                  <a:xfrm>
                    <a:off x="0" y="0"/>
                    <a:ext cx="1778104" cy="517894"/>
                  </a:xfrm>
                  <a:prstGeom prst="rect">
                    <a:avLst/>
                  </a:prstGeom>
                </pic:spPr>
              </pic:pic>
            </a:graphicData>
          </a:graphic>
        </wp:inline>
      </w:drawing>
    </w:r>
    <w:r>
      <w:rPr>
        <w:lang w:val="es-PE" w:eastAsia="es-PE"/>
      </w:rPr>
      <mc:AlternateContent>
        <mc:Choice Requires="wpg">
          <w:drawing>
            <wp:anchor distT="0" distB="0" distL="114300" distR="114300" simplePos="0" relativeHeight="251661312" behindDoc="1" locked="0" layoutInCell="1" allowOverlap="1" wp14:anchorId="543BEDD7" wp14:editId="1A2044CC">
              <wp:simplePos x="0" y="0"/>
              <wp:positionH relativeFrom="margin">
                <wp:posOffset>5523230</wp:posOffset>
              </wp:positionH>
              <wp:positionV relativeFrom="paragraph">
                <wp:posOffset>-318770</wp:posOffset>
              </wp:positionV>
              <wp:extent cx="1009650" cy="857250"/>
              <wp:effectExtent l="0" t="0" r="0" b="0"/>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 cy="3166"/>
                        <a:chOff x="19261" y="-751"/>
                        <a:chExt cx="3164" cy="3166"/>
                      </a:xfrm>
                    </wpg:grpSpPr>
                    <wps:wsp>
                      <wps:cNvPr id="19" name="Freeform 20"/>
                      <wps:cNvSpPr>
                        <a:spLocks/>
                      </wps:cNvSpPr>
                      <wps:spPr bwMode="auto">
                        <a:xfrm>
                          <a:off x="19261" y="-751"/>
                          <a:ext cx="3164" cy="3166"/>
                        </a:xfrm>
                        <a:custGeom>
                          <a:avLst/>
                          <a:gdLst>
                            <a:gd name="T0" fmla="+- 0 19261 19261"/>
                            <a:gd name="T1" fmla="*/ T0 w 3164"/>
                            <a:gd name="T2" fmla="+- 0 2415 -751"/>
                            <a:gd name="T3" fmla="*/ 2415 h 3166"/>
                            <a:gd name="T4" fmla="+- 0 22425 19261"/>
                            <a:gd name="T5" fmla="*/ T4 w 3164"/>
                            <a:gd name="T6" fmla="+- 0 2415 -751"/>
                            <a:gd name="T7" fmla="*/ 2415 h 3166"/>
                            <a:gd name="T8" fmla="+- 0 22425 19261"/>
                            <a:gd name="T9" fmla="*/ T8 w 3164"/>
                            <a:gd name="T10" fmla="+- 0 -751 -751"/>
                            <a:gd name="T11" fmla="*/ -751 h 3166"/>
                            <a:gd name="T12" fmla="+- 0 19261 19261"/>
                            <a:gd name="T13" fmla="*/ T12 w 3164"/>
                            <a:gd name="T14" fmla="+- 0 -751 -751"/>
                            <a:gd name="T15" fmla="*/ -751 h 3166"/>
                            <a:gd name="T16" fmla="+- 0 19261 19261"/>
                            <a:gd name="T17" fmla="*/ T16 w 3164"/>
                            <a:gd name="T18" fmla="+- 0 2415 -751"/>
                            <a:gd name="T19" fmla="*/ 2415 h 3166"/>
                          </a:gdLst>
                          <a:ahLst/>
                          <a:cxnLst>
                            <a:cxn ang="0">
                              <a:pos x="T1" y="T3"/>
                            </a:cxn>
                            <a:cxn ang="0">
                              <a:pos x="T5" y="T7"/>
                            </a:cxn>
                            <a:cxn ang="0">
                              <a:pos x="T9" y="T11"/>
                            </a:cxn>
                            <a:cxn ang="0">
                              <a:pos x="T13" y="T15"/>
                            </a:cxn>
                            <a:cxn ang="0">
                              <a:pos x="T17" y="T19"/>
                            </a:cxn>
                          </a:cxnLst>
                          <a:rect l="0" t="0" r="r" b="b"/>
                          <a:pathLst>
                            <a:path w="3164" h="3166">
                              <a:moveTo>
                                <a:pt x="0" y="3166"/>
                              </a:moveTo>
                              <a:lnTo>
                                <a:pt x="3164" y="3166"/>
                              </a:lnTo>
                              <a:lnTo>
                                <a:pt x="3164" y="0"/>
                              </a:lnTo>
                              <a:lnTo>
                                <a:pt x="0" y="0"/>
                              </a:lnTo>
                              <a:lnTo>
                                <a:pt x="0" y="3166"/>
                              </a:lnTo>
                              <a:close/>
                            </a:path>
                          </a:pathLst>
                        </a:custGeom>
                        <a:solidFill>
                          <a:srgbClr val="0066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52062" w:rsidRPr="00CB58C7" w:rsidRDefault="00552062" w:rsidP="00CB58C7">
                            <w:pPr>
                              <w:jc w:val="center"/>
                              <w:rPr>
                                <w:color w:val="FFFFFF" w:themeColor="background1"/>
                              </w:rPr>
                            </w:pPr>
                          </w:p>
                          <w:p w:rsidR="00552062" w:rsidRPr="00CB58C7" w:rsidRDefault="00552062" w:rsidP="00CB58C7">
                            <w:pPr>
                              <w:jc w:val="center"/>
                              <w:rPr>
                                <w:color w:val="FFFFFF" w:themeColor="background1"/>
                              </w:rPr>
                            </w:pPr>
                            <w:r w:rsidRPr="00CB58C7">
                              <w:rPr>
                                <w:color w:val="FFFFFF" w:themeColor="background1"/>
                              </w:rPr>
                              <w:t>Pegue aquí el logo de su institución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BEDD7" id="Group 19" o:spid="_x0000_s1026" style="position:absolute;margin-left:434.9pt;margin-top:-25.1pt;width:79.5pt;height:67.5pt;z-index:-251655168;mso-position-horizontal-relative:margin" coordorigin="19261,-751" coordsize="3164,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6otEgQAAI8LAAAOAAAAZHJzL2Uyb0RvYy54bWykVm2PozYQ/l6p/8HiY6ssmCVkQZs99W4v&#10;q0p715Mu/QEOmBcVMLVJyF7V/97xGCckDWl0zQew8ZPxzPPM2PP4bl9XZMelKkWzdOid5xDeJCIt&#10;m3zp/L5ezR4cojrWpKwSDV86b1w5755+/OGxb2Pui0JUKZcEjDQq7tulU3RdG7uuSgpeM3UnWt7A&#10;YiZkzTqYytxNJevBel25vueFbi9k2kqRcKXg67NZdJ7QfpbxpPstyxTvSLV0wLcOnxKfG/10nx5Z&#10;nEvWFmUyuMG+w4ualQ1sejD1zDpGtrL8l6m6TKRQIuvuElG7IsvKhGMMEA31zqJ5kWLbYix53Oft&#10;gSag9oyn7zabfN59kaRMQTtQqmE1aITbEhppcvo2jwHzItuv7RdpIoThq0j+ULDsnq/reW7AZNN/&#10;EinYY9tOIDn7TNbaBIRN9qjB20EDvu9IAh/vaRg4JIEFGIVGn6QAEfU/aOSH1CGwOFvMqV38OPlX&#10;l8VmT/Rz8EsHBcmmjnyq/8fn14K1HGVSmivLZ2T5XEnOdQYTH/NN7w4wy6cakzla0TAFnP8njZdI&#10;mWbzQAmLk63qXrhASdjuVXWmGFIYodDpkA9rKJysrqAufp4RDxIDRDDPoXwOQNDGAH9yydojPUE1&#10;B7PWmm9BaM0P6Jwc1cwPtu4tDGwhqNDWhow4wiBZRr75fuDPL/s2t0DtWzDhW2hB131bWNh136Ci&#10;bvMNUuXI28OEb/RUBs3ZReLoWAVEXWaOngpxTdaxFmvqTzl4qsW0g2Mprjl4qsY1B8eCrGk45eCZ&#10;IFOpB0ffUY+z3IP6yW2FsMIWTbJvhqqBEWH68vPwyGuF0gfX2pxa63tdMWACULrEJsDADxxx68VN&#10;YPBVg0H1W0xTkBLh89vgQCzC8TKwjpv3ELCEO/b8dpUOgdt1o7dgccs6zZMdkt4e8sVwxuuVWuz4&#10;WiCmO94NtuBhwyOgasZAPGG0jyOsRdh3iyYPSDyFwaRdtm8DgyoDa7dgLuyYVEJxo4MOG7U+xK9p&#10;Gx25SlRluiqrSketZL75UEmyY7pR8cJwtRoEOoFVmDaN0H8z25gvcN4PFOuTHxuPvyLqB957P5qt&#10;wofFLFgF81m08B5mHo3eR6EXRMHz6m+dpDSIizJNefNaNtw2QTS47VIc2jHTvmAbpAWO5v4c8//E&#10;+7MgPfhdChK6nibF1Ck4Sz8O446VlRm7px4jyRC2fSMRcOGb69Pc9t1+sweL+uNGpG9wq0phekHo&#10;XWFQCPnNIT30gUtH/bllkjuk+rWBxiCiQaAbR5wE8wXc4USOVzbjFdYkYGrpdA4cAnr4oTPN5raV&#10;ZV7AThRpacQv0BRlpb5y0VXj1TCB3gRH2PVhWEOHqtvK8RxRxz766R8AAAD//wMAUEsDBBQABgAI&#10;AAAAIQAqyvKZ4QAAAAsBAAAPAAAAZHJzL2Rvd25yZXYueG1sTI9BS8NAEIXvgv9hGcFbu5toS4zZ&#10;lFLUUxFsBfE2TaZJaHY2ZLdJ+u/dnuzxzXu89022mkwrBupdY1lDNFcgiAtbNlxp+N6/zxIQziOX&#10;2FomDRdysMrv7zJMSzvyFw07X4lQwi5FDbX3XSqlK2oy6Oa2Iw7e0fYGfZB9Jcsex1BuWhkrtZQG&#10;Gw4LNXa0qak47c5Gw8eI4/opehu2p+Pm8rtffP5sI9L68WFav4LwNPn/MFzxAzrkgelgz1w60WpI&#10;li8B3WuYLVQM4ppQcRJOh+A9JyDzTN7+kP8BAAD//wMAUEsBAi0AFAAGAAgAAAAhALaDOJL+AAAA&#10;4QEAABMAAAAAAAAAAAAAAAAAAAAAAFtDb250ZW50X1R5cGVzXS54bWxQSwECLQAUAAYACAAAACEA&#10;OP0h/9YAAACUAQAACwAAAAAAAAAAAAAAAAAvAQAAX3JlbHMvLnJlbHNQSwECLQAUAAYACAAAACEA&#10;gcuqLRIEAACPCwAADgAAAAAAAAAAAAAAAAAuAgAAZHJzL2Uyb0RvYy54bWxQSwECLQAUAAYACAAA&#10;ACEAKsrymeEAAAALAQAADwAAAAAAAAAAAAAAAABsBgAAZHJzL2Rvd25yZXYueG1sUEsFBgAAAAAE&#10;AAQA8wAAAHoHAAAAAA==&#10;">
              <v:shape id="Freeform 20" o:spid="_x0000_s1027" style="position:absolute;left:19261;top:-751;width:3164;height:3166;visibility:visible;mso-wrap-style:square;v-text-anchor:top" coordsize="3164,3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bfwwAAANsAAAAPAAAAZHJzL2Rvd25yZXYueG1sRE9La8JA&#10;EL4L/odlCr3pph5KTV3FiqFeclBb6HHITpPQ7Oya3ebhr+8KQm/z8T1ntRlMIzpqfW1ZwdM8AUFc&#10;WF1zqeDjnM1eQPiArLGxTApG8rBZTycrTLXt+UjdKZQihrBPUUEVgkul9EVFBv3cOuLIfdvWYIiw&#10;LaVusY/hppGLJHmWBmuODRU62lVU/Jx+jQI35NvLG7veZ/377vNrfx2L/KzU48OwfQURaAj/4rv7&#10;oOP8Jdx+iQfI9R8AAAD//wMAUEsBAi0AFAAGAAgAAAAhANvh9svuAAAAhQEAABMAAAAAAAAAAAAA&#10;AAAAAAAAAFtDb250ZW50X1R5cGVzXS54bWxQSwECLQAUAAYACAAAACEAWvQsW78AAAAVAQAACwAA&#10;AAAAAAAAAAAAAAAfAQAAX3JlbHMvLnJlbHNQSwECLQAUAAYACAAAACEAgHTm38MAAADbAAAADwAA&#10;AAAAAAAAAAAAAAAHAgAAZHJzL2Rvd25yZXYueG1sUEsFBgAAAAADAAMAtwAAAPcCAAAAAA==&#10;" adj="-11796480,,5400" path="m,3166r3164,l3164,,,,,3166xe" fillcolor="#06f" stroked="f">
                <v:stroke joinstyle="round"/>
                <v:formulas/>
                <v:path arrowok="t" o:connecttype="custom" o:connectlocs="0,2415;3164,2415;3164,-751;0,-751;0,2415" o:connectangles="0,0,0,0,0" textboxrect="0,0,3164,3166"/>
                <v:textbox>
                  <w:txbxContent>
                    <w:p w:rsidR="00552062" w:rsidRPr="00CB58C7" w:rsidRDefault="00552062" w:rsidP="00CB58C7">
                      <w:pPr>
                        <w:jc w:val="center"/>
                        <w:rPr>
                          <w:color w:val="FFFFFF" w:themeColor="background1"/>
                        </w:rPr>
                      </w:pPr>
                    </w:p>
                    <w:p w:rsidR="00552062" w:rsidRPr="00CB58C7" w:rsidRDefault="00552062" w:rsidP="00CB58C7">
                      <w:pPr>
                        <w:jc w:val="center"/>
                        <w:rPr>
                          <w:color w:val="FFFFFF" w:themeColor="background1"/>
                        </w:rPr>
                      </w:pPr>
                      <w:r w:rsidRPr="00CB58C7">
                        <w:rPr>
                          <w:color w:val="FFFFFF" w:themeColor="background1"/>
                        </w:rPr>
                        <w:t>Pegue aquí el logo de su institución</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6CA7277"/>
    <w:multiLevelType w:val="multilevel"/>
    <w:tmpl w:val="9CCA9710"/>
    <w:lvl w:ilvl="0">
      <w:start w:val="1"/>
      <w:numFmt w:val="decimal"/>
      <w:pStyle w:val="APAnivel1"/>
      <w:lvlText w:val="%1."/>
      <w:lvlJc w:val="left"/>
      <w:pPr>
        <w:ind w:left="360" w:hanging="360"/>
      </w:pPr>
      <w:rPr>
        <w:rFonts w:hint="default"/>
      </w:rPr>
    </w:lvl>
    <w:lvl w:ilvl="1">
      <w:start w:val="1"/>
      <w:numFmt w:val="decimal"/>
      <w:pStyle w:val="APAnivel2"/>
      <w:lvlText w:val="%1.%2."/>
      <w:lvlJc w:val="left"/>
      <w:pPr>
        <w:ind w:left="624" w:hanging="624"/>
      </w:pPr>
      <w:rPr>
        <w:rFonts w:hint="default"/>
      </w:rPr>
    </w:lvl>
    <w:lvl w:ilvl="2">
      <w:start w:val="1"/>
      <w:numFmt w:val="decimal"/>
      <w:pStyle w:val="APAnivel3"/>
      <w:lvlText w:val="%1.%2.%3."/>
      <w:lvlJc w:val="left"/>
      <w:pPr>
        <w:ind w:left="1474" w:hanging="754"/>
      </w:pPr>
      <w:rPr>
        <w:rFonts w:hint="default"/>
      </w:rPr>
    </w:lvl>
    <w:lvl w:ilvl="3">
      <w:start w:val="1"/>
      <w:numFmt w:val="decimal"/>
      <w:pStyle w:val="APAnivel4"/>
      <w:lvlText w:val="%1.%2.%3.%4."/>
      <w:lvlJc w:val="left"/>
      <w:pPr>
        <w:ind w:left="1758" w:hanging="1038"/>
      </w:pPr>
      <w:rPr>
        <w:rFonts w:hint="default"/>
      </w:rPr>
    </w:lvl>
    <w:lvl w:ilvl="4">
      <w:start w:val="1"/>
      <w:numFmt w:val="decimal"/>
      <w:pStyle w:val="APAnivel5"/>
      <w:lvlText w:val="%1.%2.%3.%4.%5."/>
      <w:lvlJc w:val="left"/>
      <w:pPr>
        <w:ind w:left="2041" w:hanging="132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93363BC"/>
    <w:multiLevelType w:val="multilevel"/>
    <w:tmpl w:val="C80E7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30E213EC"/>
    <w:multiLevelType w:val="multilevel"/>
    <w:tmpl w:val="EC54E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DE052F"/>
    <w:multiLevelType w:val="multilevel"/>
    <w:tmpl w:val="F54AE2CA"/>
    <w:lvl w:ilvl="0">
      <w:start w:val="2"/>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7" w15:restartNumberingAfterBreak="0">
    <w:nsid w:val="3C4D10B7"/>
    <w:multiLevelType w:val="hybridMultilevel"/>
    <w:tmpl w:val="9EB65A40"/>
    <w:lvl w:ilvl="0" w:tplc="9BF20538">
      <w:start w:val="4"/>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05A7AEE"/>
    <w:multiLevelType w:val="multilevel"/>
    <w:tmpl w:val="924E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60363F"/>
    <w:multiLevelType w:val="multilevel"/>
    <w:tmpl w:val="9BB4C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583B1C"/>
    <w:multiLevelType w:val="multilevel"/>
    <w:tmpl w:val="D1D8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021253"/>
    <w:multiLevelType w:val="multilevel"/>
    <w:tmpl w:val="3E4A1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15:restartNumberingAfterBreak="0">
    <w:nsid w:val="56EB334D"/>
    <w:multiLevelType w:val="hybridMultilevel"/>
    <w:tmpl w:val="8CBA4304"/>
    <w:lvl w:ilvl="0" w:tplc="6B54021C">
      <w:start w:val="1"/>
      <w:numFmt w:val="bullet"/>
      <w:lvlText w:val="-"/>
      <w:lvlJc w:val="left"/>
      <w:pPr>
        <w:tabs>
          <w:tab w:val="num" w:pos="720"/>
        </w:tabs>
        <w:ind w:left="720" w:hanging="360"/>
      </w:pPr>
      <w:rPr>
        <w:rFonts w:ascii="Times New Roman" w:hAnsi="Times New Roman" w:hint="default"/>
      </w:rPr>
    </w:lvl>
    <w:lvl w:ilvl="1" w:tplc="6D7A7B4C" w:tentative="1">
      <w:start w:val="1"/>
      <w:numFmt w:val="bullet"/>
      <w:lvlText w:val="-"/>
      <w:lvlJc w:val="left"/>
      <w:pPr>
        <w:tabs>
          <w:tab w:val="num" w:pos="1440"/>
        </w:tabs>
        <w:ind w:left="1440" w:hanging="360"/>
      </w:pPr>
      <w:rPr>
        <w:rFonts w:ascii="Times New Roman" w:hAnsi="Times New Roman" w:hint="default"/>
      </w:rPr>
    </w:lvl>
    <w:lvl w:ilvl="2" w:tplc="90721206" w:tentative="1">
      <w:start w:val="1"/>
      <w:numFmt w:val="bullet"/>
      <w:lvlText w:val="-"/>
      <w:lvlJc w:val="left"/>
      <w:pPr>
        <w:tabs>
          <w:tab w:val="num" w:pos="2160"/>
        </w:tabs>
        <w:ind w:left="2160" w:hanging="360"/>
      </w:pPr>
      <w:rPr>
        <w:rFonts w:ascii="Times New Roman" w:hAnsi="Times New Roman" w:hint="default"/>
      </w:rPr>
    </w:lvl>
    <w:lvl w:ilvl="3" w:tplc="CB54D126" w:tentative="1">
      <w:start w:val="1"/>
      <w:numFmt w:val="bullet"/>
      <w:lvlText w:val="-"/>
      <w:lvlJc w:val="left"/>
      <w:pPr>
        <w:tabs>
          <w:tab w:val="num" w:pos="2880"/>
        </w:tabs>
        <w:ind w:left="2880" w:hanging="360"/>
      </w:pPr>
      <w:rPr>
        <w:rFonts w:ascii="Times New Roman" w:hAnsi="Times New Roman" w:hint="default"/>
      </w:rPr>
    </w:lvl>
    <w:lvl w:ilvl="4" w:tplc="5B74DF12" w:tentative="1">
      <w:start w:val="1"/>
      <w:numFmt w:val="bullet"/>
      <w:lvlText w:val="-"/>
      <w:lvlJc w:val="left"/>
      <w:pPr>
        <w:tabs>
          <w:tab w:val="num" w:pos="3600"/>
        </w:tabs>
        <w:ind w:left="3600" w:hanging="360"/>
      </w:pPr>
      <w:rPr>
        <w:rFonts w:ascii="Times New Roman" w:hAnsi="Times New Roman" w:hint="default"/>
      </w:rPr>
    </w:lvl>
    <w:lvl w:ilvl="5" w:tplc="5652E448" w:tentative="1">
      <w:start w:val="1"/>
      <w:numFmt w:val="bullet"/>
      <w:lvlText w:val="-"/>
      <w:lvlJc w:val="left"/>
      <w:pPr>
        <w:tabs>
          <w:tab w:val="num" w:pos="4320"/>
        </w:tabs>
        <w:ind w:left="4320" w:hanging="360"/>
      </w:pPr>
      <w:rPr>
        <w:rFonts w:ascii="Times New Roman" w:hAnsi="Times New Roman" w:hint="default"/>
      </w:rPr>
    </w:lvl>
    <w:lvl w:ilvl="6" w:tplc="2D1AC6E0" w:tentative="1">
      <w:start w:val="1"/>
      <w:numFmt w:val="bullet"/>
      <w:lvlText w:val="-"/>
      <w:lvlJc w:val="left"/>
      <w:pPr>
        <w:tabs>
          <w:tab w:val="num" w:pos="5040"/>
        </w:tabs>
        <w:ind w:left="5040" w:hanging="360"/>
      </w:pPr>
      <w:rPr>
        <w:rFonts w:ascii="Times New Roman" w:hAnsi="Times New Roman" w:hint="default"/>
      </w:rPr>
    </w:lvl>
    <w:lvl w:ilvl="7" w:tplc="1E667590" w:tentative="1">
      <w:start w:val="1"/>
      <w:numFmt w:val="bullet"/>
      <w:lvlText w:val="-"/>
      <w:lvlJc w:val="left"/>
      <w:pPr>
        <w:tabs>
          <w:tab w:val="num" w:pos="5760"/>
        </w:tabs>
        <w:ind w:left="5760" w:hanging="360"/>
      </w:pPr>
      <w:rPr>
        <w:rFonts w:ascii="Times New Roman" w:hAnsi="Times New Roman" w:hint="default"/>
      </w:rPr>
    </w:lvl>
    <w:lvl w:ilvl="8" w:tplc="AB6E266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8"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3"/>
  </w:num>
  <w:num w:numId="2">
    <w:abstractNumId w:val="13"/>
  </w:num>
  <w:num w:numId="3">
    <w:abstractNumId w:val="13"/>
  </w:num>
  <w:num w:numId="4">
    <w:abstractNumId w:val="13"/>
  </w:num>
  <w:num w:numId="5">
    <w:abstractNumId w:val="0"/>
  </w:num>
  <w:num w:numId="6">
    <w:abstractNumId w:val="4"/>
  </w:num>
  <w:num w:numId="7">
    <w:abstractNumId w:val="15"/>
  </w:num>
  <w:num w:numId="8">
    <w:abstractNumId w:val="3"/>
  </w:num>
  <w:num w:numId="9">
    <w:abstractNumId w:val="12"/>
  </w:num>
  <w:num w:numId="10">
    <w:abstractNumId w:val="18"/>
  </w:num>
  <w:num w:numId="11">
    <w:abstractNumId w:val="17"/>
  </w:num>
  <w:num w:numId="12">
    <w:abstractNumId w:val="13"/>
  </w:num>
  <w:num w:numId="13">
    <w:abstractNumId w:val="13"/>
  </w:num>
  <w:num w:numId="14">
    <w:abstractNumId w:val="13"/>
  </w:num>
  <w:num w:numId="15">
    <w:abstractNumId w:val="13"/>
  </w:num>
  <w:num w:numId="16">
    <w:abstractNumId w:val="0"/>
  </w:num>
  <w:num w:numId="17">
    <w:abstractNumId w:val="4"/>
  </w:num>
  <w:num w:numId="18">
    <w:abstractNumId w:val="15"/>
  </w:num>
  <w:num w:numId="19">
    <w:abstractNumId w:val="3"/>
  </w:num>
  <w:num w:numId="20">
    <w:abstractNumId w:val="12"/>
  </w:num>
  <w:num w:numId="21">
    <w:abstractNumId w:val="0"/>
  </w:num>
  <w:num w:numId="22">
    <w:abstractNumId w:val="13"/>
  </w:num>
  <w:num w:numId="23">
    <w:abstractNumId w:val="13"/>
  </w:num>
  <w:num w:numId="24">
    <w:abstractNumId w:val="13"/>
  </w:num>
  <w:num w:numId="25">
    <w:abstractNumId w:val="13"/>
  </w:num>
  <w:num w:numId="26">
    <w:abstractNumId w:val="16"/>
  </w:num>
  <w:num w:numId="27">
    <w:abstractNumId w:val="13"/>
  </w:num>
  <w:num w:numId="28">
    <w:abstractNumId w:val="14"/>
  </w:num>
  <w:num w:numId="29">
    <w:abstractNumId w:val="1"/>
  </w:num>
  <w:num w:numId="30">
    <w:abstractNumId w:val="5"/>
  </w:num>
  <w:num w:numId="31">
    <w:abstractNumId w:val="6"/>
  </w:num>
  <w:num w:numId="32">
    <w:abstractNumId w:val="7"/>
  </w:num>
  <w:num w:numId="33">
    <w:abstractNumId w:val="8"/>
  </w:num>
  <w:num w:numId="34">
    <w:abstractNumId w:val="10"/>
  </w:num>
  <w:num w:numId="35">
    <w:abstractNumId w:val="2"/>
  </w:num>
  <w:num w:numId="36">
    <w:abstractNumId w:val="11"/>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intPostScriptOverText/>
  <w:embedTrueType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2FE"/>
    <w:rsid w:val="00000A64"/>
    <w:rsid w:val="00001DB1"/>
    <w:rsid w:val="00007091"/>
    <w:rsid w:val="00010606"/>
    <w:rsid w:val="00015D5D"/>
    <w:rsid w:val="00015EB5"/>
    <w:rsid w:val="000471F4"/>
    <w:rsid w:val="0005618E"/>
    <w:rsid w:val="00057BC8"/>
    <w:rsid w:val="000808AF"/>
    <w:rsid w:val="00082444"/>
    <w:rsid w:val="00087085"/>
    <w:rsid w:val="0009174D"/>
    <w:rsid w:val="00093E6F"/>
    <w:rsid w:val="00097DBA"/>
    <w:rsid w:val="000A0CD7"/>
    <w:rsid w:val="000B1DAF"/>
    <w:rsid w:val="000B22C5"/>
    <w:rsid w:val="000C5A8B"/>
    <w:rsid w:val="000E5CC4"/>
    <w:rsid w:val="00107D45"/>
    <w:rsid w:val="00113953"/>
    <w:rsid w:val="00124C74"/>
    <w:rsid w:val="0013224B"/>
    <w:rsid w:val="00163DC1"/>
    <w:rsid w:val="0016675E"/>
    <w:rsid w:val="001768B8"/>
    <w:rsid w:val="001833AC"/>
    <w:rsid w:val="00192075"/>
    <w:rsid w:val="00197831"/>
    <w:rsid w:val="001B3E1D"/>
    <w:rsid w:val="001E0B93"/>
    <w:rsid w:val="001F0D33"/>
    <w:rsid w:val="001F1930"/>
    <w:rsid w:val="00203401"/>
    <w:rsid w:val="00213FDE"/>
    <w:rsid w:val="002337BE"/>
    <w:rsid w:val="0024560D"/>
    <w:rsid w:val="00250335"/>
    <w:rsid w:val="00277D25"/>
    <w:rsid w:val="00292A1B"/>
    <w:rsid w:val="002B32B0"/>
    <w:rsid w:val="002E6EAF"/>
    <w:rsid w:val="002F6754"/>
    <w:rsid w:val="003267AF"/>
    <w:rsid w:val="0035294A"/>
    <w:rsid w:val="00387577"/>
    <w:rsid w:val="00387758"/>
    <w:rsid w:val="003B37E2"/>
    <w:rsid w:val="003C4D29"/>
    <w:rsid w:val="003C66D3"/>
    <w:rsid w:val="003D0E48"/>
    <w:rsid w:val="0043072B"/>
    <w:rsid w:val="004346DE"/>
    <w:rsid w:val="00436578"/>
    <w:rsid w:val="00442585"/>
    <w:rsid w:val="00461B42"/>
    <w:rsid w:val="00471A74"/>
    <w:rsid w:val="00485DA7"/>
    <w:rsid w:val="00493BC6"/>
    <w:rsid w:val="00496B9C"/>
    <w:rsid w:val="004A0C18"/>
    <w:rsid w:val="004B67B7"/>
    <w:rsid w:val="004C265D"/>
    <w:rsid w:val="004C65C6"/>
    <w:rsid w:val="004E3525"/>
    <w:rsid w:val="004E42C1"/>
    <w:rsid w:val="004F4246"/>
    <w:rsid w:val="0050733E"/>
    <w:rsid w:val="005173A4"/>
    <w:rsid w:val="00523B54"/>
    <w:rsid w:val="005244E1"/>
    <w:rsid w:val="00552062"/>
    <w:rsid w:val="005566A0"/>
    <w:rsid w:val="00561ED3"/>
    <w:rsid w:val="005727A9"/>
    <w:rsid w:val="005729F3"/>
    <w:rsid w:val="0058319B"/>
    <w:rsid w:val="005837A7"/>
    <w:rsid w:val="00590265"/>
    <w:rsid w:val="005939AA"/>
    <w:rsid w:val="005A5970"/>
    <w:rsid w:val="005E268B"/>
    <w:rsid w:val="005F0FD3"/>
    <w:rsid w:val="005F0FDD"/>
    <w:rsid w:val="0060574E"/>
    <w:rsid w:val="00605D4A"/>
    <w:rsid w:val="0061260C"/>
    <w:rsid w:val="00614498"/>
    <w:rsid w:val="00617380"/>
    <w:rsid w:val="006432F3"/>
    <w:rsid w:val="006549C4"/>
    <w:rsid w:val="00662F5C"/>
    <w:rsid w:val="00666E0C"/>
    <w:rsid w:val="00671551"/>
    <w:rsid w:val="006A42D2"/>
    <w:rsid w:val="006A6489"/>
    <w:rsid w:val="006C0F97"/>
    <w:rsid w:val="006C314D"/>
    <w:rsid w:val="006C3693"/>
    <w:rsid w:val="006C798A"/>
    <w:rsid w:val="006E381D"/>
    <w:rsid w:val="006F2A4F"/>
    <w:rsid w:val="00714795"/>
    <w:rsid w:val="00717860"/>
    <w:rsid w:val="00720242"/>
    <w:rsid w:val="00734D7B"/>
    <w:rsid w:val="00735161"/>
    <w:rsid w:val="007419FA"/>
    <w:rsid w:val="0074303D"/>
    <w:rsid w:val="007504B5"/>
    <w:rsid w:val="00761281"/>
    <w:rsid w:val="007614D5"/>
    <w:rsid w:val="00761EA7"/>
    <w:rsid w:val="00775138"/>
    <w:rsid w:val="00794624"/>
    <w:rsid w:val="007A3BD1"/>
    <w:rsid w:val="007A5B06"/>
    <w:rsid w:val="007D186B"/>
    <w:rsid w:val="007D7922"/>
    <w:rsid w:val="007E148E"/>
    <w:rsid w:val="007F1F5C"/>
    <w:rsid w:val="007F4AC0"/>
    <w:rsid w:val="007F7463"/>
    <w:rsid w:val="0080558A"/>
    <w:rsid w:val="0080669F"/>
    <w:rsid w:val="00807CF2"/>
    <w:rsid w:val="00832161"/>
    <w:rsid w:val="0085784A"/>
    <w:rsid w:val="00860848"/>
    <w:rsid w:val="00867926"/>
    <w:rsid w:val="00872AEC"/>
    <w:rsid w:val="0088325C"/>
    <w:rsid w:val="008A2036"/>
    <w:rsid w:val="008B7EFD"/>
    <w:rsid w:val="008C10F1"/>
    <w:rsid w:val="008C2162"/>
    <w:rsid w:val="008E3533"/>
    <w:rsid w:val="008F009D"/>
    <w:rsid w:val="0092509A"/>
    <w:rsid w:val="00960572"/>
    <w:rsid w:val="00962CCB"/>
    <w:rsid w:val="00977C58"/>
    <w:rsid w:val="009820DF"/>
    <w:rsid w:val="0098324A"/>
    <w:rsid w:val="009967CF"/>
    <w:rsid w:val="009C2083"/>
    <w:rsid w:val="009C2BBA"/>
    <w:rsid w:val="009C5A0B"/>
    <w:rsid w:val="009D4952"/>
    <w:rsid w:val="009D7730"/>
    <w:rsid w:val="009E1829"/>
    <w:rsid w:val="00A04EA7"/>
    <w:rsid w:val="00A075FC"/>
    <w:rsid w:val="00A11B03"/>
    <w:rsid w:val="00A347D1"/>
    <w:rsid w:val="00A43DB7"/>
    <w:rsid w:val="00A451D0"/>
    <w:rsid w:val="00A74C2D"/>
    <w:rsid w:val="00A74EA8"/>
    <w:rsid w:val="00A80E67"/>
    <w:rsid w:val="00A90446"/>
    <w:rsid w:val="00A93C27"/>
    <w:rsid w:val="00A97790"/>
    <w:rsid w:val="00AB0B08"/>
    <w:rsid w:val="00AE604F"/>
    <w:rsid w:val="00B2007D"/>
    <w:rsid w:val="00B27B8D"/>
    <w:rsid w:val="00B40E22"/>
    <w:rsid w:val="00B4189F"/>
    <w:rsid w:val="00B71C13"/>
    <w:rsid w:val="00B7491F"/>
    <w:rsid w:val="00B76BBC"/>
    <w:rsid w:val="00B76D24"/>
    <w:rsid w:val="00B9014A"/>
    <w:rsid w:val="00BB633F"/>
    <w:rsid w:val="00BC29B9"/>
    <w:rsid w:val="00BC4C72"/>
    <w:rsid w:val="00BC6F3D"/>
    <w:rsid w:val="00BE166E"/>
    <w:rsid w:val="00C04120"/>
    <w:rsid w:val="00C042A9"/>
    <w:rsid w:val="00C11696"/>
    <w:rsid w:val="00C16681"/>
    <w:rsid w:val="00C23826"/>
    <w:rsid w:val="00C554BA"/>
    <w:rsid w:val="00C56DDC"/>
    <w:rsid w:val="00C6090C"/>
    <w:rsid w:val="00C63E0F"/>
    <w:rsid w:val="00C660D0"/>
    <w:rsid w:val="00C704C8"/>
    <w:rsid w:val="00C82D77"/>
    <w:rsid w:val="00C9599C"/>
    <w:rsid w:val="00CB58C7"/>
    <w:rsid w:val="00CB7E17"/>
    <w:rsid w:val="00CC76B1"/>
    <w:rsid w:val="00CC779B"/>
    <w:rsid w:val="00CF1E47"/>
    <w:rsid w:val="00CF53ED"/>
    <w:rsid w:val="00D05D07"/>
    <w:rsid w:val="00D507C5"/>
    <w:rsid w:val="00D56689"/>
    <w:rsid w:val="00D651F2"/>
    <w:rsid w:val="00D74236"/>
    <w:rsid w:val="00D76F62"/>
    <w:rsid w:val="00D91BAE"/>
    <w:rsid w:val="00DC2E7C"/>
    <w:rsid w:val="00DD3235"/>
    <w:rsid w:val="00DD5954"/>
    <w:rsid w:val="00DE0F24"/>
    <w:rsid w:val="00E052FE"/>
    <w:rsid w:val="00E066B7"/>
    <w:rsid w:val="00E12477"/>
    <w:rsid w:val="00E15D06"/>
    <w:rsid w:val="00E15E9E"/>
    <w:rsid w:val="00E17135"/>
    <w:rsid w:val="00E33BA6"/>
    <w:rsid w:val="00E470E7"/>
    <w:rsid w:val="00E47DFF"/>
    <w:rsid w:val="00E64848"/>
    <w:rsid w:val="00E6543B"/>
    <w:rsid w:val="00E8386E"/>
    <w:rsid w:val="00E851FF"/>
    <w:rsid w:val="00E9243F"/>
    <w:rsid w:val="00EA7E3D"/>
    <w:rsid w:val="00EB71EA"/>
    <w:rsid w:val="00EC2294"/>
    <w:rsid w:val="00EC5E08"/>
    <w:rsid w:val="00EE4869"/>
    <w:rsid w:val="00EF3E84"/>
    <w:rsid w:val="00F043F2"/>
    <w:rsid w:val="00F04EF6"/>
    <w:rsid w:val="00F23094"/>
    <w:rsid w:val="00F2725C"/>
    <w:rsid w:val="00F2741E"/>
    <w:rsid w:val="00F41715"/>
    <w:rsid w:val="00F51A3C"/>
    <w:rsid w:val="00F5452C"/>
    <w:rsid w:val="00F63E41"/>
    <w:rsid w:val="00F87C5A"/>
    <w:rsid w:val="00F92573"/>
    <w:rsid w:val="00FA273A"/>
    <w:rsid w:val="00FE69E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D4A9B6"/>
  <w15:docId w15:val="{183F0DCD-DB4C-4C8F-A399-8FDDABADE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CB"/>
    <w:rPr>
      <w:lang w:val="es-PE" w:eastAsia="en-US"/>
    </w:rPr>
  </w:style>
  <w:style w:type="paragraph" w:styleId="Ttulo3">
    <w:name w:val="heading 3"/>
    <w:basedOn w:val="Normal"/>
    <w:link w:val="Ttulo3Car"/>
    <w:uiPriority w:val="9"/>
    <w:qFormat/>
    <w:rsid w:val="00C04120"/>
    <w:pPr>
      <w:spacing w:before="100" w:beforeAutospacing="1" w:after="100" w:afterAutospacing="1"/>
      <w:outlineLvl w:val="2"/>
    </w:pPr>
    <w:rPr>
      <w:b/>
      <w:bCs/>
      <w:sz w:val="27"/>
      <w:szCs w:val="27"/>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aliases w:val="Tabla_titulo"/>
    <w:basedOn w:val="Normal"/>
    <w:next w:val="Normal"/>
    <w:uiPriority w:val="35"/>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BC6F3D"/>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BC6F3D"/>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C6F3D"/>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numPr>
        <w:numId w:val="17"/>
      </w:numPr>
      <w:spacing w:before="480" w:after="240" w:line="220" w:lineRule="exact"/>
    </w:pPr>
    <w:rPr>
      <w:b/>
      <w:lang w:val="en-US" w:eastAsia="en-US"/>
    </w:rPr>
  </w:style>
  <w:style w:type="paragraph" w:customStyle="1" w:styleId="Els-appendixsubhead">
    <w:name w:val="Els-appendixsubhead"/>
    <w:next w:val="Normal"/>
    <w:rsid w:val="00BC6F3D"/>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numPr>
        <w:numId w:val="19"/>
      </w:numPr>
      <w:tabs>
        <w:tab w:val="left" w:pos="240"/>
      </w:tabs>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numPr>
        <w:numId w:val="20"/>
      </w:numPr>
      <w:tabs>
        <w:tab w:val="left" w:pos="240"/>
      </w:tabs>
      <w:ind w:left="480"/>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denotaalfinal">
    <w:name w:val="endnote reference"/>
    <w:basedOn w:val="Fuentedeprrafopredeter"/>
    <w:semiHidden/>
    <w:rsid w:val="00BC6F3D"/>
    <w:rPr>
      <w:vertAlign w:val="superscript"/>
    </w:rPr>
  </w:style>
  <w:style w:type="paragraph" w:styleId="Encabezado">
    <w:name w:val="header"/>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basedOn w:val="Fuentedeprrafopredeter"/>
    <w:rsid w:val="00C6090C"/>
    <w:rPr>
      <w:color w:val="auto"/>
      <w:sz w:val="16"/>
      <w:u w:val="none"/>
    </w:rPr>
  </w:style>
  <w:style w:type="character" w:customStyle="1" w:styleId="MTEquationSection">
    <w:name w:val="MTEquationSection"/>
    <w:basedOn w:val="Fuentedeprrafopredeter"/>
    <w:rsid w:val="00BC6F3D"/>
    <w:rPr>
      <w:vanish/>
      <w:color w:val="FF0000"/>
    </w:rPr>
  </w:style>
  <w:style w:type="character" w:styleId="Nmerodepgina">
    <w:name w:val="page number"/>
    <w:basedOn w:val="Fuentedeprrafopredet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basedOn w:val="Fuentedeprrafopredeter"/>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basedOn w:val="Fuentedeprrafopredeter"/>
    <w:link w:val="Textodeglobo"/>
    <w:rsid w:val="00007091"/>
    <w:rPr>
      <w:rFonts w:ascii="Tahoma" w:hAnsi="Tahoma" w:cs="Tahoma"/>
      <w:sz w:val="16"/>
      <w:szCs w:val="16"/>
      <w:lang w:val="en-GB" w:eastAsia="en-US"/>
    </w:rPr>
  </w:style>
  <w:style w:type="character" w:customStyle="1" w:styleId="Els-1storder-headChar">
    <w:name w:val="Els-1storder-head Char"/>
    <w:basedOn w:val="Fuentedeprrafopredeter"/>
    <w:link w:val="Els-1storder-head"/>
    <w:rsid w:val="00E052FE"/>
    <w:rPr>
      <w:b/>
      <w:lang w:val="en-US" w:eastAsia="en-US" w:bidi="ar-SA"/>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paragraph" w:styleId="Textoindependiente">
    <w:name w:val="Body Text"/>
    <w:basedOn w:val="Normal"/>
    <w:link w:val="TextoindependienteCar"/>
    <w:semiHidden/>
    <w:rsid w:val="008C10F1"/>
    <w:rPr>
      <w:rFonts w:ascii="Arial" w:hAnsi="Arial"/>
      <w:sz w:val="24"/>
      <w:lang w:val="es-MX" w:eastAsia="es-ES"/>
    </w:rPr>
  </w:style>
  <w:style w:type="character" w:customStyle="1" w:styleId="TextoindependienteCar">
    <w:name w:val="Texto independiente Car"/>
    <w:basedOn w:val="Fuentedeprrafopredeter"/>
    <w:link w:val="Textoindependiente"/>
    <w:semiHidden/>
    <w:rsid w:val="008C10F1"/>
    <w:rPr>
      <w:rFonts w:ascii="Arial" w:hAnsi="Arial"/>
      <w:sz w:val="24"/>
      <w:lang w:val="es-MX" w:eastAsia="es-ES"/>
    </w:rPr>
  </w:style>
  <w:style w:type="paragraph" w:customStyle="1" w:styleId="APAparrafo">
    <w:name w:val="APA_parrafo"/>
    <w:basedOn w:val="Normal"/>
    <w:link w:val="APAparrafoCar"/>
    <w:qFormat/>
    <w:rsid w:val="00197831"/>
    <w:pPr>
      <w:spacing w:after="240" w:line="480" w:lineRule="auto"/>
      <w:ind w:firstLine="720"/>
      <w:jc w:val="both"/>
    </w:pPr>
    <w:rPr>
      <w:rFonts w:eastAsiaTheme="minorHAnsi" w:cstheme="minorBidi"/>
      <w:sz w:val="24"/>
      <w:szCs w:val="22"/>
    </w:rPr>
  </w:style>
  <w:style w:type="character" w:customStyle="1" w:styleId="APAparrafoCar">
    <w:name w:val="APA_parrafo Car"/>
    <w:basedOn w:val="Fuentedeprrafopredeter"/>
    <w:link w:val="APAparrafo"/>
    <w:rsid w:val="00197831"/>
    <w:rPr>
      <w:rFonts w:eastAsiaTheme="minorHAnsi" w:cstheme="minorBidi"/>
      <w:sz w:val="24"/>
      <w:szCs w:val="22"/>
      <w:lang w:val="es-PE" w:eastAsia="en-US"/>
    </w:rPr>
  </w:style>
  <w:style w:type="paragraph" w:customStyle="1" w:styleId="APAnivel1">
    <w:name w:val="APA_nivel1"/>
    <w:basedOn w:val="Normal"/>
    <w:next w:val="APAparrafo"/>
    <w:link w:val="APAnivel1Car"/>
    <w:qFormat/>
    <w:rsid w:val="00197831"/>
    <w:pPr>
      <w:numPr>
        <w:numId w:val="29"/>
      </w:numPr>
      <w:spacing w:after="240"/>
      <w:jc w:val="center"/>
      <w:outlineLvl w:val="0"/>
    </w:pPr>
    <w:rPr>
      <w:rFonts w:eastAsiaTheme="minorHAnsi" w:cstheme="minorBidi"/>
      <w:b/>
      <w:sz w:val="24"/>
      <w:szCs w:val="22"/>
    </w:rPr>
  </w:style>
  <w:style w:type="paragraph" w:customStyle="1" w:styleId="APAnivel2">
    <w:name w:val="APA_nivel2"/>
    <w:basedOn w:val="APAnivel1"/>
    <w:next w:val="APAparrafo"/>
    <w:link w:val="APAnivel2Car"/>
    <w:qFormat/>
    <w:rsid w:val="00197831"/>
    <w:pPr>
      <w:numPr>
        <w:ilvl w:val="1"/>
      </w:numPr>
      <w:jc w:val="left"/>
      <w:outlineLvl w:val="1"/>
    </w:pPr>
  </w:style>
  <w:style w:type="character" w:customStyle="1" w:styleId="APAnivel1Car">
    <w:name w:val="APA_nivel1 Car"/>
    <w:basedOn w:val="Fuentedeprrafopredeter"/>
    <w:link w:val="APAnivel1"/>
    <w:rsid w:val="00197831"/>
    <w:rPr>
      <w:rFonts w:eastAsiaTheme="minorHAnsi" w:cstheme="minorBidi"/>
      <w:b/>
      <w:sz w:val="24"/>
      <w:szCs w:val="22"/>
      <w:lang w:val="es-PE" w:eastAsia="en-US"/>
    </w:rPr>
  </w:style>
  <w:style w:type="paragraph" w:customStyle="1" w:styleId="APAnivel3">
    <w:name w:val="APA_nivel3"/>
    <w:basedOn w:val="APAnivel2"/>
    <w:next w:val="APAparrafo"/>
    <w:qFormat/>
    <w:rsid w:val="00197831"/>
    <w:pPr>
      <w:numPr>
        <w:ilvl w:val="2"/>
      </w:numPr>
      <w:ind w:left="2160" w:hanging="360"/>
      <w:outlineLvl w:val="2"/>
    </w:pPr>
  </w:style>
  <w:style w:type="character" w:customStyle="1" w:styleId="APAnivel2Car">
    <w:name w:val="APA_nivel2 Car"/>
    <w:basedOn w:val="APAnivel1Car"/>
    <w:link w:val="APAnivel2"/>
    <w:rsid w:val="00197831"/>
    <w:rPr>
      <w:rFonts w:eastAsiaTheme="minorHAnsi" w:cstheme="minorBidi"/>
      <w:b/>
      <w:sz w:val="24"/>
      <w:szCs w:val="22"/>
      <w:lang w:val="es-PE" w:eastAsia="en-US"/>
    </w:rPr>
  </w:style>
  <w:style w:type="paragraph" w:customStyle="1" w:styleId="APAnivel4">
    <w:name w:val="APA_nivel4"/>
    <w:basedOn w:val="APAnivel3"/>
    <w:next w:val="APAparrafo"/>
    <w:qFormat/>
    <w:rsid w:val="00197831"/>
    <w:pPr>
      <w:numPr>
        <w:ilvl w:val="3"/>
      </w:numPr>
      <w:ind w:left="2880" w:hanging="360"/>
      <w:outlineLvl w:val="3"/>
    </w:pPr>
    <w:rPr>
      <w:i/>
    </w:rPr>
  </w:style>
  <w:style w:type="paragraph" w:customStyle="1" w:styleId="APAnivel5">
    <w:name w:val="APA_nivel5"/>
    <w:basedOn w:val="APAnivel4"/>
    <w:next w:val="APAparrafo"/>
    <w:qFormat/>
    <w:rsid w:val="00197831"/>
    <w:pPr>
      <w:numPr>
        <w:ilvl w:val="4"/>
      </w:numPr>
      <w:ind w:left="3600" w:hanging="360"/>
      <w:outlineLvl w:val="4"/>
    </w:pPr>
    <w:rPr>
      <w:b w:val="0"/>
    </w:rPr>
  </w:style>
  <w:style w:type="table" w:styleId="Tablaconcuadrcula">
    <w:name w:val="Table Grid"/>
    <w:basedOn w:val="Tablanormal"/>
    <w:uiPriority w:val="39"/>
    <w:rsid w:val="00197831"/>
    <w:pPr>
      <w:jc w:val="center"/>
    </w:pPr>
    <w:rPr>
      <w:rFonts w:ascii="Arial" w:eastAsia="Arial" w:hAnsi="Arial" w:cs="Arial"/>
      <w:sz w:val="22"/>
      <w:szCs w:val="22"/>
      <w:lang w:val="es-PE" w:eastAsia="es-PE"/>
    </w:rPr>
    <w:tblPr>
      <w:tblBorders>
        <w:top w:val="single" w:sz="4" w:space="0" w:color="auto"/>
        <w:bottom w:val="single" w:sz="4" w:space="0" w:color="auto"/>
      </w:tblBorders>
    </w:tblPr>
  </w:style>
  <w:style w:type="table" w:styleId="Cuadrculadetablaclara">
    <w:name w:val="Grid Table Light"/>
    <w:basedOn w:val="Tablanormal"/>
    <w:uiPriority w:val="40"/>
    <w:rsid w:val="00197831"/>
    <w:rPr>
      <w:rFonts w:ascii="Arial" w:eastAsia="Arial" w:hAnsi="Arial" w:cs="Arial"/>
      <w:sz w:val="22"/>
      <w:szCs w:val="22"/>
      <w:lang w:val="es-PE" w:eastAsia="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7E148E"/>
    <w:pPr>
      <w:spacing w:before="100" w:beforeAutospacing="1" w:after="100" w:afterAutospacing="1"/>
    </w:pPr>
    <w:rPr>
      <w:sz w:val="24"/>
      <w:szCs w:val="24"/>
      <w:lang w:eastAsia="es-PE"/>
    </w:rPr>
  </w:style>
  <w:style w:type="character" w:styleId="Textoennegrita">
    <w:name w:val="Strong"/>
    <w:basedOn w:val="Fuentedeprrafopredeter"/>
    <w:uiPriority w:val="22"/>
    <w:qFormat/>
    <w:rsid w:val="007E148E"/>
    <w:rPr>
      <w:b/>
      <w:bCs/>
    </w:rPr>
  </w:style>
  <w:style w:type="character" w:customStyle="1" w:styleId="Ttulo3Car">
    <w:name w:val="Título 3 Car"/>
    <w:basedOn w:val="Fuentedeprrafopredeter"/>
    <w:link w:val="Ttulo3"/>
    <w:uiPriority w:val="9"/>
    <w:rsid w:val="00C04120"/>
    <w:rPr>
      <w:b/>
      <w:bCs/>
      <w:sz w:val="27"/>
      <w:szCs w:val="27"/>
      <w:lang w:val="es-PE" w:eastAsia="es-PE"/>
    </w:rPr>
  </w:style>
  <w:style w:type="character" w:styleId="nfasis">
    <w:name w:val="Emphasis"/>
    <w:basedOn w:val="Fuentedeprrafopredeter"/>
    <w:uiPriority w:val="20"/>
    <w:qFormat/>
    <w:rsid w:val="00C04120"/>
    <w:rPr>
      <w:i/>
      <w:iCs/>
    </w:rPr>
  </w:style>
  <w:style w:type="paragraph" w:styleId="Prrafodelista">
    <w:name w:val="List Paragraph"/>
    <w:basedOn w:val="Normal"/>
    <w:uiPriority w:val="34"/>
    <w:qFormat/>
    <w:rsid w:val="00C041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051293">
      <w:bodyDiv w:val="1"/>
      <w:marLeft w:val="0"/>
      <w:marRight w:val="0"/>
      <w:marTop w:val="0"/>
      <w:marBottom w:val="0"/>
      <w:divBdr>
        <w:top w:val="none" w:sz="0" w:space="0" w:color="auto"/>
        <w:left w:val="none" w:sz="0" w:space="0" w:color="auto"/>
        <w:bottom w:val="none" w:sz="0" w:space="0" w:color="auto"/>
        <w:right w:val="none" w:sz="0" w:space="0" w:color="auto"/>
      </w:divBdr>
    </w:div>
    <w:div w:id="179512815">
      <w:bodyDiv w:val="1"/>
      <w:marLeft w:val="0"/>
      <w:marRight w:val="0"/>
      <w:marTop w:val="0"/>
      <w:marBottom w:val="0"/>
      <w:divBdr>
        <w:top w:val="none" w:sz="0" w:space="0" w:color="auto"/>
        <w:left w:val="none" w:sz="0" w:space="0" w:color="auto"/>
        <w:bottom w:val="none" w:sz="0" w:space="0" w:color="auto"/>
        <w:right w:val="none" w:sz="0" w:space="0" w:color="auto"/>
      </w:divBdr>
    </w:div>
    <w:div w:id="520054561">
      <w:bodyDiv w:val="1"/>
      <w:marLeft w:val="0"/>
      <w:marRight w:val="0"/>
      <w:marTop w:val="0"/>
      <w:marBottom w:val="0"/>
      <w:divBdr>
        <w:top w:val="none" w:sz="0" w:space="0" w:color="auto"/>
        <w:left w:val="none" w:sz="0" w:space="0" w:color="auto"/>
        <w:bottom w:val="none" w:sz="0" w:space="0" w:color="auto"/>
        <w:right w:val="none" w:sz="0" w:space="0" w:color="auto"/>
      </w:divBdr>
      <w:divsChild>
        <w:div w:id="345597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2249274">
      <w:bodyDiv w:val="1"/>
      <w:marLeft w:val="0"/>
      <w:marRight w:val="0"/>
      <w:marTop w:val="0"/>
      <w:marBottom w:val="0"/>
      <w:divBdr>
        <w:top w:val="none" w:sz="0" w:space="0" w:color="auto"/>
        <w:left w:val="none" w:sz="0" w:space="0" w:color="auto"/>
        <w:bottom w:val="none" w:sz="0" w:space="0" w:color="auto"/>
        <w:right w:val="none" w:sz="0" w:space="0" w:color="auto"/>
      </w:divBdr>
    </w:div>
    <w:div w:id="794254807">
      <w:bodyDiv w:val="1"/>
      <w:marLeft w:val="0"/>
      <w:marRight w:val="0"/>
      <w:marTop w:val="0"/>
      <w:marBottom w:val="0"/>
      <w:divBdr>
        <w:top w:val="none" w:sz="0" w:space="0" w:color="auto"/>
        <w:left w:val="none" w:sz="0" w:space="0" w:color="auto"/>
        <w:bottom w:val="none" w:sz="0" w:space="0" w:color="auto"/>
        <w:right w:val="none" w:sz="0" w:space="0" w:color="auto"/>
      </w:divBdr>
    </w:div>
    <w:div w:id="1121074104">
      <w:bodyDiv w:val="1"/>
      <w:marLeft w:val="0"/>
      <w:marRight w:val="0"/>
      <w:marTop w:val="0"/>
      <w:marBottom w:val="0"/>
      <w:divBdr>
        <w:top w:val="none" w:sz="0" w:space="0" w:color="auto"/>
        <w:left w:val="none" w:sz="0" w:space="0" w:color="auto"/>
        <w:bottom w:val="none" w:sz="0" w:space="0" w:color="auto"/>
        <w:right w:val="none" w:sz="0" w:space="0" w:color="auto"/>
      </w:divBdr>
    </w:div>
    <w:div w:id="1198927892">
      <w:bodyDiv w:val="1"/>
      <w:marLeft w:val="0"/>
      <w:marRight w:val="0"/>
      <w:marTop w:val="0"/>
      <w:marBottom w:val="0"/>
      <w:divBdr>
        <w:top w:val="none" w:sz="0" w:space="0" w:color="auto"/>
        <w:left w:val="none" w:sz="0" w:space="0" w:color="auto"/>
        <w:bottom w:val="none" w:sz="0" w:space="0" w:color="auto"/>
        <w:right w:val="none" w:sz="0" w:space="0" w:color="auto"/>
      </w:divBdr>
      <w:divsChild>
        <w:div w:id="2084132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841877">
      <w:bodyDiv w:val="1"/>
      <w:marLeft w:val="0"/>
      <w:marRight w:val="0"/>
      <w:marTop w:val="0"/>
      <w:marBottom w:val="0"/>
      <w:divBdr>
        <w:top w:val="none" w:sz="0" w:space="0" w:color="auto"/>
        <w:left w:val="none" w:sz="0" w:space="0" w:color="auto"/>
        <w:bottom w:val="none" w:sz="0" w:space="0" w:color="auto"/>
        <w:right w:val="none" w:sz="0" w:space="0" w:color="auto"/>
      </w:divBdr>
    </w:div>
    <w:div w:id="1403408350">
      <w:bodyDiv w:val="1"/>
      <w:marLeft w:val="0"/>
      <w:marRight w:val="0"/>
      <w:marTop w:val="0"/>
      <w:marBottom w:val="0"/>
      <w:divBdr>
        <w:top w:val="none" w:sz="0" w:space="0" w:color="auto"/>
        <w:left w:val="none" w:sz="0" w:space="0" w:color="auto"/>
        <w:bottom w:val="none" w:sz="0" w:space="0" w:color="auto"/>
        <w:right w:val="none" w:sz="0" w:space="0" w:color="auto"/>
      </w:divBdr>
    </w:div>
    <w:div w:id="1475835900">
      <w:bodyDiv w:val="1"/>
      <w:marLeft w:val="0"/>
      <w:marRight w:val="0"/>
      <w:marTop w:val="0"/>
      <w:marBottom w:val="0"/>
      <w:divBdr>
        <w:top w:val="none" w:sz="0" w:space="0" w:color="auto"/>
        <w:left w:val="none" w:sz="0" w:space="0" w:color="auto"/>
        <w:bottom w:val="none" w:sz="0" w:space="0" w:color="auto"/>
        <w:right w:val="none" w:sz="0" w:space="0" w:color="auto"/>
      </w:divBdr>
    </w:div>
    <w:div w:id="1521315960">
      <w:bodyDiv w:val="1"/>
      <w:marLeft w:val="0"/>
      <w:marRight w:val="0"/>
      <w:marTop w:val="0"/>
      <w:marBottom w:val="0"/>
      <w:divBdr>
        <w:top w:val="none" w:sz="0" w:space="0" w:color="auto"/>
        <w:left w:val="none" w:sz="0" w:space="0" w:color="auto"/>
        <w:bottom w:val="none" w:sz="0" w:space="0" w:color="auto"/>
        <w:right w:val="none" w:sz="0" w:space="0" w:color="auto"/>
      </w:divBdr>
    </w:div>
    <w:div w:id="1554150136">
      <w:bodyDiv w:val="1"/>
      <w:marLeft w:val="0"/>
      <w:marRight w:val="0"/>
      <w:marTop w:val="0"/>
      <w:marBottom w:val="0"/>
      <w:divBdr>
        <w:top w:val="none" w:sz="0" w:space="0" w:color="auto"/>
        <w:left w:val="none" w:sz="0" w:space="0" w:color="auto"/>
        <w:bottom w:val="none" w:sz="0" w:space="0" w:color="auto"/>
        <w:right w:val="none" w:sz="0" w:space="0" w:color="auto"/>
      </w:divBdr>
    </w:div>
    <w:div w:id="1572497319">
      <w:bodyDiv w:val="1"/>
      <w:marLeft w:val="0"/>
      <w:marRight w:val="0"/>
      <w:marTop w:val="0"/>
      <w:marBottom w:val="0"/>
      <w:divBdr>
        <w:top w:val="none" w:sz="0" w:space="0" w:color="auto"/>
        <w:left w:val="none" w:sz="0" w:space="0" w:color="auto"/>
        <w:bottom w:val="none" w:sz="0" w:space="0" w:color="auto"/>
        <w:right w:val="none" w:sz="0" w:space="0" w:color="auto"/>
      </w:divBdr>
      <w:divsChild>
        <w:div w:id="1618680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8754993">
      <w:bodyDiv w:val="1"/>
      <w:marLeft w:val="0"/>
      <w:marRight w:val="0"/>
      <w:marTop w:val="0"/>
      <w:marBottom w:val="0"/>
      <w:divBdr>
        <w:top w:val="none" w:sz="0" w:space="0" w:color="auto"/>
        <w:left w:val="none" w:sz="0" w:space="0" w:color="auto"/>
        <w:bottom w:val="none" w:sz="0" w:space="0" w:color="auto"/>
        <w:right w:val="none" w:sz="0" w:space="0" w:color="auto"/>
      </w:divBdr>
    </w:div>
    <w:div w:id="1641881475">
      <w:bodyDiv w:val="1"/>
      <w:marLeft w:val="0"/>
      <w:marRight w:val="0"/>
      <w:marTop w:val="0"/>
      <w:marBottom w:val="0"/>
      <w:divBdr>
        <w:top w:val="none" w:sz="0" w:space="0" w:color="auto"/>
        <w:left w:val="none" w:sz="0" w:space="0" w:color="auto"/>
        <w:bottom w:val="none" w:sz="0" w:space="0" w:color="auto"/>
        <w:right w:val="none" w:sz="0" w:space="0" w:color="auto"/>
      </w:divBdr>
    </w:div>
    <w:div w:id="1688752836">
      <w:bodyDiv w:val="1"/>
      <w:marLeft w:val="0"/>
      <w:marRight w:val="0"/>
      <w:marTop w:val="0"/>
      <w:marBottom w:val="0"/>
      <w:divBdr>
        <w:top w:val="none" w:sz="0" w:space="0" w:color="auto"/>
        <w:left w:val="none" w:sz="0" w:space="0" w:color="auto"/>
        <w:bottom w:val="none" w:sz="0" w:space="0" w:color="auto"/>
        <w:right w:val="none" w:sz="0" w:space="0" w:color="auto"/>
      </w:divBdr>
    </w:div>
    <w:div w:id="1733892063">
      <w:bodyDiv w:val="1"/>
      <w:marLeft w:val="0"/>
      <w:marRight w:val="0"/>
      <w:marTop w:val="0"/>
      <w:marBottom w:val="0"/>
      <w:divBdr>
        <w:top w:val="none" w:sz="0" w:space="0" w:color="auto"/>
        <w:left w:val="none" w:sz="0" w:space="0" w:color="auto"/>
        <w:bottom w:val="none" w:sz="0" w:space="0" w:color="auto"/>
        <w:right w:val="none" w:sz="0" w:space="0" w:color="auto"/>
      </w:divBdr>
    </w:div>
    <w:div w:id="1824546591">
      <w:bodyDiv w:val="1"/>
      <w:marLeft w:val="0"/>
      <w:marRight w:val="0"/>
      <w:marTop w:val="0"/>
      <w:marBottom w:val="0"/>
      <w:divBdr>
        <w:top w:val="none" w:sz="0" w:space="0" w:color="auto"/>
        <w:left w:val="none" w:sz="0" w:space="0" w:color="auto"/>
        <w:bottom w:val="none" w:sz="0" w:space="0" w:color="auto"/>
        <w:right w:val="none" w:sz="0" w:space="0" w:color="auto"/>
      </w:divBdr>
    </w:div>
    <w:div w:id="189346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Gar19</b:Tag>
    <b:SourceType>Misc</b:SourceType>
    <b:Guid>{18D53B81-006A-4EC9-AD5C-63E331480BB5}</b:Guid>
    <b:Author>
      <b:Author>
        <b:NameList>
          <b:Person>
            <b:Last>García</b:Last>
            <b:First>J.,</b:First>
            <b:Middle>Torres</b:Middle>
          </b:Person>
        </b:NameList>
      </b:Author>
    </b:Author>
    <b:Title>Contaminación ambiental y sostenibilidad</b:Title>
    <b:PublicationTitle>Contaminación ambiental y sostenibilidad</b:PublicationTitle>
    <b:Year>2019</b:Year>
    <b:Month>agosto</b:Month>
    <b:Day>14</b:Day>
    <b:YearAccessed>2025</b:YearAccessed>
    <b:MonthAccessed>junio</b:MonthAccessed>
    <b:URL>https://www.redalyc.org/journal/4766/476661510004/html/</b:URL>
    <b:DOI>https://www.redalyc.org/journal/4766/476661510004/html/</b:DOI>
    <b:RefOrder>1</b:RefOrder>
  </b:Source>
  <b:Source>
    <b:Tag>atl81</b:Tag>
    <b:SourceType>Misc</b:SourceType>
    <b:Guid>{C6A9205E-E7E4-4E5F-85BB-552F186DABE8}</b:Guid>
    <b:Author>
      <b:Author>
        <b:NameList>
          <b:Person>
            <b:Last>atlas</b:Last>
            <b:First>ronald</b:First>
            <b:Middle>m.</b:Middle>
          </b:Person>
          <b:Person>
            <b:Last>bartha</b:Last>
            <b:First>richard</b:First>
          </b:Person>
        </b:NameList>
      </b:Author>
    </b:Author>
    <b:Title>microbial ecology</b:Title>
    <b:PublicationTitle>fundamentals and applications</b:PublicationTitle>
    <b:Year>1981</b:Year>
    <b:URL>https://archive.org/details/microbialecology00atla_0</b:URL>
    <b:DOI>https://archive.org/details/microbialecology00atla_0</b:DOI>
    <b:RefOrder>2</b:RefOrder>
  </b:Source>
  <b:Source>
    <b:Tag>Gho</b:Tag>
    <b:SourceType>Misc</b:SourceType>
    <b:Guid>{F568AA51-D152-4DAB-9C48-DD2EEAE75057}</b:Guid>
    <b:Author>
      <b:Author>
        <b:NameList>
          <b:Person>
            <b:Last>Ghosal</b:Last>
            <b:First>D.,</b:First>
            <b:Middle>Ghosh, S., Dutta, T. K., &amp; Ahn,</b:Middle>
          </b:Person>
        </b:NameList>
      </b:Author>
    </b:Author>
    <b:Title>Current state of knowledge in microbial degradation of polycyclic aromatic hydrocarbons</b:Title>
    <b:PublicationTitle>Current state of knowledge in microbial degradation of polycyclic aromatic hydrocarbons</b:PublicationTitle>
    <b:URL>https://doi.org/10.3389/fmicb.2016.01369</b:URL>
    <b:DOI>https://doi.org/10.3389/fmicb.2016.01369</b:DOI>
    <b:RefOrder>3</b:RefOrder>
  </b:Source>
</b:Sources>
</file>

<file path=customXml/itemProps1.xml><?xml version="1.0" encoding="utf-8"?>
<ds:datastoreItem xmlns:ds="http://schemas.openxmlformats.org/officeDocument/2006/customXml" ds:itemID="{0502F979-C542-43FD-A835-F43514893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Template>
  <TotalTime>1</TotalTime>
  <Pages>11</Pages>
  <Words>2828</Words>
  <Characters>15557</Characters>
  <Application>Microsoft Office Word</Application>
  <DocSecurity>0</DocSecurity>
  <Lines>129</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Grizli777</Company>
  <LinksUpToDate>false</LinksUpToDate>
  <CharactersWithSpaces>18349</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CRAI-Trabajo37</cp:lastModifiedBy>
  <cp:revision>2</cp:revision>
  <cp:lastPrinted>2021-06-28T21:54:00Z</cp:lastPrinted>
  <dcterms:created xsi:type="dcterms:W3CDTF">2025-06-09T17:05:00Z</dcterms:created>
  <dcterms:modified xsi:type="dcterms:W3CDTF">2025-06-09T17:05:00Z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fd25e9bf1f4102841229af0d928099f0a51d7c387e6fa31f692e0554304f2482</vt:lpwstr>
  </property>
</Properties>
</file>