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Arial" w:cs="Arial" w:hAnsi="Arial"/>
          <w:b/>
          <w:sz w:val="40"/>
          <w:szCs w:val="40"/>
          <w:lang w:val="es-ES"/>
        </w:rPr>
      </w:pPr>
      <w:r>
        <w:rPr>
          <w:rFonts w:ascii="Arial" w:cs="Arial" w:hAnsi="Arial"/>
          <w:b/>
          <w:sz w:val="40"/>
          <w:szCs w:val="40"/>
          <w:lang w:val="es-ES"/>
        </w:rPr>
        <w:t>UNIVERSIDAD PERUANA UNIÓN</w:t>
      </w:r>
    </w:p>
    <w:p>
      <w:pPr>
        <w:pStyle w:val="style0"/>
        <w:jc w:val="center"/>
        <w:rPr>
          <w:rFonts w:ascii="Arial" w:cs="Arial" w:hAnsi="Arial"/>
          <w:sz w:val="32"/>
          <w:szCs w:val="32"/>
          <w:lang w:val="es-ES"/>
        </w:rPr>
      </w:pPr>
      <w:r>
        <w:rPr>
          <w:rFonts w:ascii="Arial" w:cs="Arial" w:hAnsi="Arial"/>
          <w:sz w:val="32"/>
          <w:szCs w:val="32"/>
          <w:lang w:val="es-ES"/>
        </w:rPr>
        <w:t xml:space="preserve">FACULTAD DE </w:t>
      </w:r>
      <w:r>
        <w:rPr>
          <w:rFonts w:ascii="Arial" w:cs="Arial" w:hAnsi="Arial"/>
          <w:sz w:val="32"/>
          <w:szCs w:val="32"/>
          <w:lang w:val="es-ES"/>
        </w:rPr>
        <w:t>INGENIERÍA Y ARQUITECTURA</w:t>
      </w:r>
    </w:p>
    <w:p>
      <w:pPr>
        <w:pStyle w:val="style0"/>
        <w:jc w:val="center"/>
        <w:rPr>
          <w:rFonts w:ascii="Arial" w:cs="Arial" w:hAnsi="Arial"/>
          <w:sz w:val="32"/>
          <w:szCs w:val="32"/>
          <w:lang w:val="es-ES"/>
        </w:rPr>
      </w:pPr>
      <w:r>
        <w:rPr>
          <w:rFonts w:ascii="Arial" w:cs="Arial" w:hAnsi="Arial"/>
          <w:sz w:val="32"/>
          <w:szCs w:val="32"/>
          <w:lang w:val="es-ES"/>
        </w:rPr>
        <w:t xml:space="preserve">Escuela Profesional de </w:t>
      </w:r>
      <w:r>
        <w:rPr>
          <w:rFonts w:ascii="Arial" w:cs="Arial" w:hAnsi="Arial"/>
          <w:sz w:val="32"/>
          <w:szCs w:val="32"/>
          <w:lang w:val="es-ES"/>
        </w:rPr>
        <w:t>ingeniería ambiental</w:t>
      </w:r>
    </w:p>
    <w:p>
      <w:pPr>
        <w:pStyle w:val="style0"/>
        <w:jc w:val="center"/>
        <w:rPr>
          <w:rFonts w:ascii="Arial" w:cs="Arial" w:hAnsi="Arial"/>
          <w:sz w:val="32"/>
          <w:szCs w:val="32"/>
          <w:lang w:val="es-ES"/>
        </w:rPr>
      </w:pPr>
      <w:r>
        <w:rPr>
          <w:rFonts w:eastAsia="Times New Roman"/>
          <w:b/>
          <w:noProof/>
          <w:szCs w:val="28"/>
          <w:lang w:val="es-PE" w:eastAsia="es-PE"/>
        </w:rPr>
        <w:drawing>
          <wp:inline distL="0" distT="0" distB="0" distR="0">
            <wp:extent cx="1813560" cy="1813560"/>
            <wp:effectExtent l="0" t="0" r="0" b="0"/>
            <wp:docPr id="1026"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1813560" cy="1813560"/>
                    </a:xfrm>
                    <a:prstGeom prst="rect"/>
                    <a:ln>
                      <a:noFill/>
                    </a:ln>
                  </pic:spPr>
                </pic:pic>
              </a:graphicData>
            </a:graphic>
          </wp:inline>
        </w:drawing>
      </w:r>
    </w:p>
    <w:p>
      <w:pPr>
        <w:pStyle w:val="style0"/>
        <w:jc w:val="center"/>
        <w:rPr>
          <w:rFonts w:ascii="Arial" w:cs="Arial" w:hAnsi="Arial"/>
          <w:b/>
          <w:sz w:val="28"/>
          <w:szCs w:val="28"/>
          <w:lang w:val="es-ES"/>
        </w:rPr>
      </w:pPr>
      <w:r>
        <w:rPr>
          <w:rFonts w:ascii="Arial" w:cs="Arial" w:hAnsi="Arial"/>
          <w:b/>
          <w:sz w:val="28"/>
          <w:szCs w:val="28"/>
          <w:lang w:val="es-ES"/>
        </w:rPr>
        <w:t xml:space="preserve">Perfil de proyecto de investigación: </w:t>
      </w:r>
      <w:r>
        <w:rPr>
          <w:rFonts w:ascii="Arial" w:cs="Arial" w:hAnsi="Arial"/>
          <w:b/>
          <w:sz w:val="28"/>
          <w:szCs w:val="28"/>
          <w:lang w:val="es-ES"/>
        </w:rPr>
        <w:t xml:space="preserve"> </w:t>
      </w:r>
    </w:p>
    <w:p>
      <w:pPr>
        <w:pStyle w:val="style0"/>
        <w:jc w:val="center"/>
        <w:rPr>
          <w:rFonts w:ascii="Arial" w:cs="Arial" w:hAnsi="Arial"/>
          <w:b/>
          <w:sz w:val="28"/>
          <w:szCs w:val="28"/>
          <w:lang w:val="es-ES"/>
        </w:rPr>
      </w:pPr>
      <w:r>
        <w:rPr>
          <w:rFonts w:ascii="Arial" w:cs="Arial" w:hAnsi="Arial"/>
          <w:b/>
          <w:sz w:val="28"/>
          <w:szCs w:val="28"/>
          <w:lang w:val="es-ES"/>
        </w:rPr>
        <w:t>U</w:t>
      </w:r>
      <w:r>
        <w:rPr>
          <w:rFonts w:ascii="Arial" w:cs="Arial" w:hAnsi="Arial"/>
          <w:b/>
          <w:sz w:val="28"/>
          <w:szCs w:val="28"/>
          <w:lang w:val="es-ES"/>
        </w:rPr>
        <w:t>tilización de residuos orgánicos como fuente de energía mediante procesos de digestión anaeróbi</w:t>
      </w:r>
      <w:r>
        <w:rPr>
          <w:rFonts w:ascii="Arial" w:cs="Arial" w:hAnsi="Arial"/>
          <w:b/>
          <w:sz w:val="28"/>
          <w:szCs w:val="28"/>
          <w:lang w:val="es-ES"/>
        </w:rPr>
        <w:t>ca</w:t>
      </w:r>
    </w:p>
    <w:p>
      <w:pPr>
        <w:pStyle w:val="style0"/>
        <w:jc w:val="center"/>
        <w:rPr>
          <w:rFonts w:ascii="Arial" w:cs="Arial" w:hAnsi="Arial"/>
          <w:sz w:val="28"/>
          <w:lang w:val="es-ES"/>
        </w:rPr>
      </w:pPr>
      <w:r>
        <w:rPr>
          <w:rFonts w:ascii="Arial" w:cs="Arial" w:hAnsi="Arial"/>
          <w:sz w:val="28"/>
          <w:lang w:val="es-ES"/>
        </w:rPr>
        <w:t>Por:</w:t>
      </w:r>
    </w:p>
    <w:p>
      <w:pPr>
        <w:pStyle w:val="style0"/>
        <w:jc w:val="center"/>
        <w:rPr>
          <w:rFonts w:ascii="Arial" w:cs="Arial" w:hAnsi="Arial"/>
          <w:sz w:val="28"/>
          <w:lang w:val="es-ES"/>
        </w:rPr>
      </w:pPr>
      <w:r>
        <w:rPr>
          <w:rFonts w:ascii="Arial" w:cs="Arial" w:hAnsi="Arial"/>
          <w:sz w:val="28"/>
          <w:lang w:val="es-ES"/>
        </w:rPr>
        <w:t xml:space="preserve">Yuleydi Nadim </w:t>
      </w:r>
      <w:r>
        <w:rPr>
          <w:rFonts w:ascii="Arial" w:cs="Arial" w:hAnsi="Arial"/>
          <w:sz w:val="28"/>
          <w:lang w:val="es-ES"/>
        </w:rPr>
        <w:t>Chavez</w:t>
      </w:r>
      <w:r>
        <w:rPr>
          <w:rFonts w:ascii="Arial" w:cs="Arial" w:hAnsi="Arial"/>
          <w:sz w:val="28"/>
          <w:lang w:val="es-ES"/>
        </w:rPr>
        <w:t xml:space="preserve"> Figueroa, 72873078</w:t>
      </w:r>
    </w:p>
    <w:p>
      <w:pPr>
        <w:pStyle w:val="style0"/>
        <w:jc w:val="center"/>
        <w:rPr>
          <w:rFonts w:ascii="Arial" w:cs="Arial" w:hAnsi="Arial"/>
          <w:sz w:val="28"/>
          <w:lang w:val="es-ES"/>
        </w:rPr>
      </w:pPr>
      <w:r>
        <w:rPr>
          <w:rFonts w:ascii="Arial" w:cs="Arial" w:hAnsi="Arial"/>
          <w:sz w:val="28"/>
          <w:lang w:val="es-ES"/>
        </w:rPr>
        <w:t>Asesor:</w:t>
      </w:r>
    </w:p>
    <w:p>
      <w:pPr>
        <w:pStyle w:val="style0"/>
        <w:jc w:val="center"/>
        <w:rPr>
          <w:rFonts w:ascii="Arial" w:cs="Arial" w:hAnsi="Arial"/>
          <w:sz w:val="28"/>
          <w:lang w:val="es-ES"/>
        </w:rPr>
      </w:pPr>
      <w:r>
        <w:rPr>
          <w:rFonts w:ascii="Arial" w:cs="Arial" w:hAnsi="Arial"/>
          <w:sz w:val="28"/>
          <w:lang w:val="es-ES"/>
        </w:rPr>
        <w:t>Jorge Juvenal Bravo Hualla</w:t>
      </w:r>
    </w:p>
    <w:p>
      <w:pPr>
        <w:pStyle w:val="style0"/>
        <w:ind w:firstLine="0"/>
        <w:rPr>
          <w:rFonts w:ascii="Arial" w:cs="Arial" w:hAnsi="Arial"/>
          <w:lang w:val="es-ES"/>
        </w:rPr>
      </w:pPr>
    </w:p>
    <w:p>
      <w:pPr>
        <w:pStyle w:val="style0"/>
        <w:jc w:val="center"/>
        <w:rPr>
          <w:rFonts w:ascii="Arial" w:cs="Arial" w:hAnsi="Arial"/>
          <w:b/>
          <w:sz w:val="28"/>
          <w:lang w:val="es-ES"/>
        </w:rPr>
      </w:pPr>
      <w:r>
        <w:rPr>
          <w:rFonts w:ascii="Arial" w:cs="Arial" w:hAnsi="Arial"/>
          <w:b/>
          <w:sz w:val="28"/>
          <w:lang w:val="es-ES"/>
        </w:rPr>
        <w:t>Juliaca</w:t>
      </w:r>
      <w:r>
        <w:rPr>
          <w:rFonts w:ascii="Arial" w:cs="Arial" w:hAnsi="Arial"/>
          <w:b/>
          <w:sz w:val="28"/>
          <w:lang w:val="es-ES"/>
        </w:rPr>
        <w:t xml:space="preserve">, </w:t>
      </w:r>
      <w:r>
        <w:rPr>
          <w:rFonts w:ascii="Arial" w:cs="Arial" w:hAnsi="Arial"/>
          <w:b/>
          <w:sz w:val="28"/>
          <w:lang w:val="es-ES"/>
        </w:rPr>
        <w:t xml:space="preserve"> 4</w:t>
      </w:r>
      <w:r>
        <w:rPr>
          <w:rFonts w:ascii="Arial" w:cs="Arial" w:hAnsi="Arial"/>
          <w:b/>
          <w:sz w:val="28"/>
          <w:lang w:val="es-ES"/>
        </w:rPr>
        <w:t xml:space="preserve"> </w:t>
      </w:r>
      <w:r>
        <w:rPr>
          <w:rFonts w:ascii="Arial" w:cs="Arial" w:hAnsi="Arial"/>
          <w:b/>
          <w:sz w:val="28"/>
          <w:lang w:val="es-ES"/>
        </w:rPr>
        <w:tab/>
      </w:r>
      <w:r>
        <w:rPr>
          <w:rFonts w:ascii="Arial" w:cs="Arial" w:hAnsi="Arial"/>
          <w:b/>
          <w:sz w:val="28"/>
          <w:lang w:val="es-ES"/>
        </w:rPr>
        <w:t xml:space="preserve">de junio </w:t>
      </w:r>
      <w:r>
        <w:rPr>
          <w:rFonts w:ascii="Arial" w:cs="Arial" w:hAnsi="Arial"/>
          <w:b/>
          <w:sz w:val="28"/>
          <w:lang w:val="es-ES"/>
        </w:rPr>
        <w:t xml:space="preserve">de </w:t>
      </w:r>
      <w:r>
        <w:rPr>
          <w:rFonts w:ascii="Arial" w:cs="Arial" w:hAnsi="Arial"/>
          <w:b/>
          <w:sz w:val="28"/>
          <w:lang w:val="es-ES"/>
        </w:rPr>
        <w:t>2020</w:t>
      </w:r>
    </w:p>
    <w:p>
      <w:pPr>
        <w:pStyle w:val="style0"/>
        <w:jc w:val="center"/>
        <w:rPr>
          <w:rFonts w:ascii="Arial" w:cs="Arial" w:hAnsi="Arial"/>
          <w:b/>
          <w:sz w:val="28"/>
          <w:lang w:val="es-ES"/>
        </w:rPr>
      </w:pPr>
    </w:p>
    <w:p>
      <w:pPr>
        <w:pStyle w:val="style1"/>
        <w:numPr>
          <w:ilvl w:val="0"/>
          <w:numId w:val="1"/>
        </w:numPr>
        <w:rPr>
          <w:lang w:val="es-PE"/>
        </w:rPr>
      </w:pPr>
      <w:r>
        <w:rPr>
          <w:lang w:val="es-PE"/>
        </w:rPr>
        <w:t>Planteamiento del Problema</w:t>
      </w:r>
    </w:p>
    <w:p>
      <w:pPr>
        <w:pStyle w:val="style0"/>
        <w:rPr>
          <w:lang w:val="es-ES"/>
        </w:rPr>
      </w:pPr>
      <w:r>
        <w:rPr>
          <w:lang w:val="es-ES"/>
        </w:rPr>
        <w:t>La acumulación de residuos sólidos representa un problema ambiental</w:t>
      </w:r>
      <w:r>
        <w:rPr>
          <w:lang w:val="es-ES"/>
        </w:rPr>
        <w:t xml:space="preserve"> </w:t>
      </w:r>
      <w:r>
        <w:rPr>
          <w:lang w:val="es-ES"/>
        </w:rPr>
        <w:t xml:space="preserve">significativo en muchas ciudades del mundo como también lo es en Juliaca. </w:t>
      </w:r>
      <w:r>
        <w:rPr>
          <w:lang w:val="es-ES"/>
        </w:rPr>
        <w:t>L</w:t>
      </w:r>
      <w:r>
        <w:rPr>
          <w:lang w:val="es-ES"/>
        </w:rPr>
        <w:t xml:space="preserve">a </w:t>
      </w:r>
      <w:r>
        <w:rPr>
          <w:lang w:val="es-ES"/>
        </w:rPr>
        <w:t xml:space="preserve">disposición inadecuadamente de estos residuos </w:t>
      </w:r>
      <w:r>
        <w:rPr>
          <w:lang w:val="es-ES"/>
        </w:rPr>
        <w:t xml:space="preserve">orgánicos </w:t>
      </w:r>
      <w:r>
        <w:rPr>
          <w:lang w:val="es-ES"/>
        </w:rPr>
        <w:t>daña</w:t>
      </w:r>
      <w:r>
        <w:rPr>
          <w:lang w:val="es-ES"/>
        </w:rPr>
        <w:t xml:space="preserve"> el suelo</w:t>
      </w:r>
      <w:r>
        <w:rPr>
          <w:lang w:val="es-ES"/>
        </w:rPr>
        <w:t xml:space="preserve"> </w:t>
      </w:r>
      <w:r>
        <w:rPr>
          <w:lang w:val="es-ES"/>
        </w:rPr>
        <w:t xml:space="preserve">además de contribuir a los gases de efecto </w:t>
      </w:r>
      <w:r>
        <w:rPr>
          <w:lang w:val="es-ES"/>
        </w:rPr>
        <w:t>invernadero. Algunas</w:t>
      </w:r>
      <w:r>
        <w:rPr>
          <w:lang w:val="es-ES"/>
        </w:rPr>
        <w:t xml:space="preserve"> alternativas</w:t>
      </w:r>
      <w:r>
        <w:rPr>
          <w:lang w:val="es-ES"/>
        </w:rPr>
        <w:t xml:space="preserve"> </w:t>
      </w:r>
      <w:r>
        <w:rPr>
          <w:lang w:val="es-ES"/>
        </w:rPr>
        <w:t>viables para su aprovechamiento son a través de procesos de digestión anaeróbica(biogás).</w:t>
      </w:r>
      <w:r>
        <w:rPr>
          <w:lang w:val="en-US"/>
        </w:rPr>
        <w:t>La digestión anaeróbica es un proceso fermentativo en el que se transforma la materia orgánica en biogás y biofertilizante. El biogás contiene metano que puede utilizarse como fuente de energía, mientras que el biofertilizante es un abono orgánico útil para la agricultura. Este proceso es eficiente para tratar residuos orgánicos y contribuye a reducir la contaminación ambiental (Domus, 2023)</w:t>
      </w:r>
    </w:p>
    <w:p>
      <w:pPr>
        <w:pStyle w:val="style2"/>
        <w:rPr>
          <w:lang w:val="es-PE"/>
        </w:rPr>
      </w:pPr>
      <w:r>
        <w:rPr>
          <w:lang w:val="es-PE"/>
        </w:rPr>
        <w:t xml:space="preserve">1.1 </w:t>
      </w:r>
      <w:r>
        <w:rPr>
          <w:lang w:val="es-PE"/>
        </w:rPr>
        <w:t>Justificació</w:t>
      </w:r>
      <w:r>
        <w:rPr>
          <w:lang w:val="es-PE"/>
        </w:rPr>
        <w:t>n</w:t>
      </w:r>
    </w:p>
    <w:p>
      <w:pPr>
        <w:pStyle w:val="style0"/>
        <w:rPr>
          <w:lang w:val="es-PE"/>
        </w:rPr>
      </w:pPr>
      <w:r>
        <w:rPr>
          <w:lang w:val="es-PE"/>
        </w:rPr>
        <w:t>Este proyecto busca transformar residuos orgánicos (como restos de comida y desechos agrícolas) en energía limpia, evitando que contaminen en vertederos. Combinando investigación teórica y pruebas prácticas, evaluaremos métodos como digestión anaeróbica para determinar la forma más eficiente de aprovecharlos. Los resultados aportarán soluciones concretas para reducir el uso de combustibles fósiles y ofrecerán alternativas sostenibles a industrias y comunidades, promoviendo una economía circular real.</w:t>
      </w:r>
      <w:r>
        <w:rPr>
          <w:lang w:val="es-PE"/>
        </w:rPr>
        <w:t xml:space="preserve"> </w:t>
      </w:r>
      <w:r>
        <w:rPr>
          <w:lang w:val="en-US"/>
        </w:rPr>
        <w:t>La digestión anaerobia es una tecnología que permite tratar residuos orgánicos, reduciendo la emisión de gases de efecto invernadero y aprovechando su potencial energético para la producción de biogás, una fuente sostenible que contribuye a disminuir el uso de combustibles fósiles (Sarabia et al., 2017; Campos-Montiel et al., 2018)</w:t>
      </w:r>
    </w:p>
    <w:p>
      <w:pPr>
        <w:pStyle w:val="style2"/>
        <w:rPr>
          <w:lang w:val="es-PE"/>
        </w:rPr>
      </w:pPr>
      <w:r>
        <w:rPr>
          <w:lang w:val="es-PE"/>
        </w:rPr>
        <w:t xml:space="preserve">1.2 </w:t>
      </w:r>
      <w:r>
        <w:rPr>
          <w:lang w:val="es-PE"/>
        </w:rPr>
        <w:t>Estado del Arte</w:t>
      </w:r>
    </w:p>
    <w:p>
      <w:pPr>
        <w:pStyle w:val="style0"/>
        <w:rPr>
          <w:lang w:val="es-PE"/>
        </w:rPr>
      </w:pPr>
      <w:r>
        <w:rPr>
          <w:lang w:val="es-ES"/>
        </w:rPr>
        <w:t xml:space="preserve">Me enfocaré en el estudio de residuos orgánicos provenientes de mercados municipales, principalmente frutas, verduras y cáscaras, ya que constituyen entre el 60 y 70% de los residuos sólidos generados en ciudades latinoamericanas (BID, 2022) y actualmente se gestionan de manera ineficiente mediante vertederos o incineración. Estos residuos, por su alto contenido de carbohidratos y baja lignina, son ideales para procesos de digestión anaerobia, tecnología que optimizaré mediante un sistema bifásico que separa la acidogénesis y la metanogénesis. Esta configuración permite hasta un 40% más de producción de metano respecto a sistemas convencionales (Zhang et al., 2023), facilita el control de inhibidores como el amonio y es escalable para plantas de pequeña capacidad (&lt;1 ton/día), lo cual es crucial para entornos rurales o urbanos marginados. </w:t>
      </w:r>
      <w:r>
        <w:rPr>
          <w:lang w:val="en-US"/>
        </w:rPr>
        <w:t>Sin embargo, la mayoría de los estudios sobre digestión anaerobia bifásica se han realizado en climas templados (Europa, EE.UU.) con temperaturas inferiores a 25 °C, mientras que la literatura sobre su aplicación en climas fríos o semiáridos es limitada. En Juliaca, donde las temperaturas máximas rondan los 17 °C, la eficiencia del proceso puede verse afectada por la baja temperatura ambiental, que reduce la actividad microbiana y la producción de biogás (UTP, 2021). Por ello, es necesario evaluar la viabilidad técnico-económica y operacional de estos sistemas en condiciones de baja temperatura.</w:t>
      </w:r>
    </w:p>
    <w:p>
      <w:pPr>
        <w:pStyle w:val="style0"/>
        <w:rPr>
          <w:lang w:val="es-PE"/>
        </w:rPr>
      </w:pPr>
      <w:r>
        <w:rPr>
          <w:lang w:val="en-US"/>
        </w:rPr>
        <w:t>La digestión anaerobia es un proceso biológico en el que microorganismos degradan materia orgánica en ausencia de oxígeno, produciendo biogás y fertilizantes orgánicos (UPCommons, 2020). Este proceso es viable en un rango amplio de temperaturas, pero su eficiencia varía según el rango térmico: psicrófico (&lt;20 °C), mesofílico (20-40 °C) y termofílico (&gt;40 °C). En climas fríos, como el de Juliaca con temperaturas máximas cercanas a 17 °C, la digestión psicrófica es la más relevante, aunque presenta menor producción de biogás debido a la baja actividad microbiana (UPCommons, 2020).</w:t>
      </w:r>
    </w:p>
    <w:p>
      <w:pPr>
        <w:pStyle w:val="style0"/>
        <w:rPr>
          <w:lang w:val="es-PE"/>
        </w:rPr>
      </w:pPr>
    </w:p>
    <w:p>
      <w:pPr>
        <w:pStyle w:val="style0"/>
        <w:rPr>
          <w:lang w:val="es-PE"/>
        </w:rPr>
      </w:pPr>
      <w:r>
        <w:rPr>
          <w:lang w:val="en-US"/>
        </w:rPr>
        <w:t>Estudios en digestores anaerobios a bajas temperaturas muestran que la producción de biogás disminuye significativamente por debajo de los 15 °C, y que la estabilidad del proceso depende de la tasa de carga orgánica y la capacidad de controlar las fluctuaciones térmicas diarias (UTP, 2019). En este contexto, la implementación de tecnologías pasivas como biodigestores tubulares con diseño solar pasivo ha demostrado mantener temperaturas internas superiores a las ambientales, mejorando la producción de biogás en climas fríos sin necesidad de calefacción activa (Scielo Bolivia, 2013).</w:t>
      </w:r>
    </w:p>
    <w:p>
      <w:pPr>
        <w:pStyle w:val="style2"/>
        <w:numPr>
          <w:ilvl w:val="1"/>
          <w:numId w:val="1"/>
        </w:numPr>
        <w:rPr>
          <w:lang w:val="es-PE"/>
        </w:rPr>
      </w:pPr>
      <w:r>
        <w:rPr>
          <w:lang w:val="es-PE"/>
        </w:rPr>
        <w:t>Objetivos</w:t>
      </w:r>
    </w:p>
    <w:p>
      <w:pPr>
        <w:pStyle w:val="style0"/>
        <w:rPr>
          <w:lang w:val="es-PE"/>
        </w:rPr>
      </w:pPr>
      <w:r>
        <w:rPr>
          <w:lang w:val="es-PE"/>
        </w:rPr>
        <w:t>Objetivo general</w:t>
      </w:r>
    </w:p>
    <w:p>
      <w:pPr>
        <w:pStyle w:val="style0"/>
        <w:ind w:firstLine="0"/>
        <w:rPr>
          <w:lang w:val="es-PE"/>
        </w:rPr>
      </w:pPr>
      <w:r>
        <w:rPr>
          <w:lang w:val="en-US"/>
        </w:rPr>
        <w:t xml:space="preserve">              -</w:t>
      </w:r>
      <w:r>
        <w:rPr>
          <w:lang w:val="es-PE"/>
        </w:rPr>
        <w:t>Generar energía limpia a base de residuos orgánicos y mediante la producción de</w:t>
      </w:r>
    </w:p>
    <w:p>
      <w:pPr>
        <w:pStyle w:val="style0"/>
        <w:ind w:firstLine="0"/>
        <w:rPr>
          <w:lang w:val="es-PE"/>
        </w:rPr>
      </w:pPr>
      <w:r>
        <w:rPr>
          <w:lang w:val="es-PE"/>
        </w:rPr>
        <w:t>Biogas</w:t>
      </w:r>
      <w:r>
        <w:rPr>
          <w:lang w:val="es-PE"/>
        </w:rPr>
        <w:t>.</w:t>
      </w:r>
    </w:p>
    <w:p>
      <w:pPr>
        <w:pStyle w:val="style0"/>
        <w:ind w:firstLine="0"/>
        <w:rPr>
          <w:lang w:val="es-PE"/>
        </w:rPr>
      </w:pPr>
      <w:r>
        <w:rPr>
          <w:lang w:val="es-PE"/>
        </w:rPr>
        <w:t xml:space="preserve">               Objetivos especificos</w:t>
      </w:r>
    </w:p>
    <w:p>
      <w:pPr>
        <w:pStyle w:val="style0"/>
        <w:ind w:firstLine="0"/>
        <w:rPr>
          <w:lang w:val="es-ES"/>
        </w:rPr>
      </w:pPr>
      <w:r>
        <w:rPr>
          <w:lang w:val="es-PE"/>
        </w:rPr>
        <w:t xml:space="preserve">           </w:t>
      </w:r>
      <w:r>
        <w:rPr>
          <w:lang w:val="en-US"/>
        </w:rPr>
        <w:t xml:space="preserve">   </w:t>
      </w:r>
      <w:r>
        <w:rPr>
          <w:lang w:val="es-PE"/>
        </w:rPr>
        <w:t xml:space="preserve"> </w:t>
      </w:r>
      <w:r>
        <w:rPr>
          <w:lang w:val="en-US"/>
        </w:rPr>
        <w:t>-</w:t>
      </w:r>
      <w:r>
        <w:rPr>
          <w:lang w:val="es-PE"/>
        </w:rPr>
        <w:t xml:space="preserve">  </w:t>
      </w:r>
      <w:r>
        <w:rPr>
          <w:lang w:val="es-ES"/>
        </w:rPr>
        <w:t>Recolectar residuos orgánicos mediante técnicas de recolección</w:t>
      </w:r>
      <w:r>
        <w:rPr>
          <w:lang w:val="es-ES"/>
        </w:rPr>
        <w:t>.</w:t>
      </w:r>
    </w:p>
    <w:p>
      <w:pPr>
        <w:pStyle w:val="style0"/>
        <w:ind w:firstLine="0"/>
        <w:rPr>
          <w:lang w:val="es-ES"/>
        </w:rPr>
      </w:pPr>
      <w:r>
        <w:rPr>
          <w:lang w:val="es-ES"/>
        </w:rPr>
        <w:t xml:space="preserve">          </w:t>
      </w:r>
      <w:r>
        <w:rPr>
          <w:lang w:val="en-US"/>
        </w:rPr>
        <w:t xml:space="preserve">   </w:t>
      </w:r>
      <w:r>
        <w:rPr>
          <w:lang w:val="es-ES"/>
        </w:rPr>
        <w:t xml:space="preserve">  </w:t>
      </w:r>
      <w:r>
        <w:rPr>
          <w:lang w:val="en-US"/>
        </w:rPr>
        <w:t>-</w:t>
      </w:r>
      <w:r>
        <w:rPr>
          <w:lang w:val="es-ES"/>
        </w:rPr>
        <w:t xml:space="preserve">   </w:t>
      </w:r>
      <w:r>
        <w:rPr>
          <w:lang w:val="es-ES"/>
        </w:rPr>
        <w:t>Caracterizar los residuos orgánicos</w:t>
      </w:r>
      <w:r>
        <w:rPr>
          <w:lang w:val="es-ES"/>
        </w:rPr>
        <w:t>.</w:t>
      </w:r>
    </w:p>
    <w:p>
      <w:pPr>
        <w:pStyle w:val="style0"/>
        <w:ind w:firstLine="0"/>
        <w:rPr>
          <w:lang w:val="es-ES"/>
        </w:rPr>
      </w:pPr>
      <w:r>
        <w:rPr>
          <w:lang w:val="es-ES"/>
        </w:rPr>
        <w:t xml:space="preserve">        </w:t>
      </w:r>
      <w:r>
        <w:rPr>
          <w:lang w:val="en-US"/>
        </w:rPr>
        <w:t xml:space="preserve">    </w:t>
      </w:r>
      <w:r>
        <w:rPr>
          <w:lang w:val="es-ES"/>
        </w:rPr>
        <w:t xml:space="preserve">   </w:t>
      </w:r>
      <w:r>
        <w:rPr>
          <w:lang w:val="en-US"/>
        </w:rPr>
        <w:t>-</w:t>
      </w:r>
      <w:r>
        <w:rPr>
          <w:lang w:val="es-ES"/>
        </w:rPr>
        <w:t xml:space="preserve">  Implementar la elaboración de biodigestor</w:t>
      </w:r>
      <w:r>
        <w:rPr>
          <w:lang w:val="es-ES"/>
        </w:rPr>
        <w:t>.</w:t>
      </w:r>
    </w:p>
    <w:p>
      <w:pPr>
        <w:pStyle w:val="style0"/>
        <w:ind w:firstLine="0"/>
        <w:rPr>
          <w:lang w:val="es-ES"/>
        </w:rPr>
      </w:pPr>
      <w:r>
        <w:rPr>
          <w:lang w:val="es-ES"/>
        </w:rPr>
        <w:t xml:space="preserve">              </w:t>
      </w:r>
      <w:r>
        <w:rPr>
          <w:lang w:val="en-US"/>
        </w:rPr>
        <w:t xml:space="preserve"> -</w:t>
      </w:r>
      <w:r>
        <w:rPr>
          <w:lang w:val="es-ES"/>
        </w:rPr>
        <w:t xml:space="preserve"> </w:t>
      </w:r>
      <w:r>
        <w:rPr>
          <w:lang w:val="es-ES"/>
        </w:rPr>
        <w:t xml:space="preserve">Implementar y monitorear la producción de </w:t>
      </w:r>
      <w:r>
        <w:rPr>
          <w:lang w:val="es-ES"/>
        </w:rPr>
        <w:t>biogas</w:t>
      </w:r>
      <w:r>
        <w:rPr>
          <w:lang w:val="es-ES"/>
        </w:rPr>
        <w:t>, evaluando parámetros</w:t>
      </w:r>
    </w:p>
    <w:p>
      <w:pPr>
        <w:pStyle w:val="style0"/>
        <w:ind w:firstLine="0"/>
        <w:rPr>
          <w:lang w:val="es-ES"/>
        </w:rPr>
      </w:pPr>
      <w:r>
        <w:rPr>
          <w:lang w:val="es-ES"/>
        </w:rPr>
        <w:t>como producción del metano, tiempo de retención y eficiencia.</w:t>
      </w:r>
    </w:p>
    <w:p>
      <w:pPr>
        <w:pStyle w:val="style2"/>
        <w:rPr>
          <w:lang w:val="es-PE"/>
        </w:rPr>
      </w:pPr>
      <w:r>
        <w:rPr>
          <w:lang w:val="es-PE"/>
        </w:rPr>
        <w:t>1.4</w:t>
      </w:r>
      <w:r>
        <w:rPr>
          <w:lang w:val="es-PE"/>
        </w:rPr>
        <w:t xml:space="preserve"> </w:t>
      </w:r>
      <w:r>
        <w:rPr>
          <w:lang w:val="es-PE"/>
        </w:rPr>
        <w:t>Hipotesis</w:t>
      </w:r>
    </w:p>
    <w:p>
      <w:pPr>
        <w:pStyle w:val="style0"/>
        <w:rPr>
          <w:lang w:val="es-PE"/>
        </w:rPr>
      </w:pPr>
      <w:r>
        <w:rPr>
          <w:lang w:val="es-PE"/>
        </w:rPr>
        <w:t xml:space="preserve"> </w:t>
      </w:r>
      <w:r>
        <w:rPr>
          <w:lang w:val="es-ES"/>
        </w:rPr>
        <w:t>El pretratamiento físico, como la molienda, mejora la degradabilidad de la materia orgánica al aumentar la superficie de contacto para la acción microbiana, lo que incrementa la producción de biogás y el volumen de metano generado durante la digestión anaerobia</w:t>
      </w:r>
      <w:r>
        <w:rPr>
          <w:lang w:val="en-US"/>
        </w:rPr>
        <w:t xml:space="preserve"> </w:t>
      </w:r>
      <w:r>
        <w:rPr>
          <w:lang w:val="es-ES"/>
        </w:rPr>
        <w:t>(Redalyc, 2017)</w:t>
      </w:r>
      <w:r>
        <w:rPr>
          <w:lang w:val="en-US"/>
        </w:rPr>
        <w:t>.</w:t>
      </w:r>
    </w:p>
    <w:p>
      <w:pPr>
        <w:pStyle w:val="style2"/>
        <w:rPr>
          <w:lang w:val="es-PE"/>
        </w:rPr>
      </w:pPr>
      <w:r>
        <w:rPr>
          <w:lang w:val="es-PE"/>
        </w:rPr>
        <w:t xml:space="preserve">1.5 </w:t>
      </w:r>
      <w:r>
        <w:rPr>
          <w:lang w:val="es-PE"/>
        </w:rPr>
        <w:t>Variables</w:t>
      </w:r>
    </w:p>
    <w:p>
      <w:pPr>
        <w:pStyle w:val="style0"/>
        <w:rPr>
          <w:lang w:val="es-PE"/>
        </w:rPr>
      </w:pPr>
      <w:r>
        <w:rPr>
          <w:lang w:val="es-PE"/>
        </w:rPr>
        <w:t>Variables independientes</w:t>
      </w:r>
    </w:p>
    <w:p>
      <w:pPr>
        <w:pStyle w:val="style0"/>
        <w:ind w:firstLine="0"/>
        <w:rPr>
          <w:lang w:val="es-PE"/>
        </w:rPr>
      </w:pPr>
      <w:r>
        <w:rPr>
          <w:lang w:val="en-US"/>
        </w:rPr>
        <w:t>-</w:t>
      </w:r>
      <w:r>
        <w:rPr>
          <w:lang w:val="es-PE"/>
        </w:rPr>
        <w:t>Cantidad de residuos orgánicos</w:t>
      </w:r>
    </w:p>
    <w:p>
      <w:pPr>
        <w:pStyle w:val="style0"/>
        <w:ind w:firstLine="0"/>
        <w:rPr>
          <w:lang w:val="es-PE"/>
        </w:rPr>
      </w:pPr>
      <w:r>
        <w:rPr>
          <w:lang w:val="en-US"/>
        </w:rPr>
        <w:t>-</w:t>
      </w:r>
      <w:r>
        <w:rPr>
          <w:lang w:val="es-PE"/>
        </w:rPr>
        <w:t>Tipo de residuo orgánico</w:t>
      </w:r>
    </w:p>
    <w:p>
      <w:pPr>
        <w:pStyle w:val="style0"/>
        <w:ind w:firstLine="0"/>
        <w:rPr>
          <w:lang w:val="es-PE"/>
        </w:rPr>
      </w:pPr>
      <w:r>
        <w:rPr>
          <w:lang w:val="en-US"/>
        </w:rPr>
        <w:t>-C</w:t>
      </w:r>
      <w:r>
        <w:rPr>
          <w:lang w:val="es-PE"/>
        </w:rPr>
        <w:t>ondiciones ambientales (temperatura, pH, humedad)</w:t>
      </w:r>
    </w:p>
    <w:p>
      <w:pPr>
        <w:pStyle w:val="style0"/>
        <w:rPr>
          <w:lang w:val="es-ES"/>
        </w:rPr>
      </w:pPr>
      <w:r>
        <w:rPr>
          <w:lang w:val="es-ES"/>
        </w:rPr>
        <w:t>Variables dependientes</w:t>
      </w:r>
    </w:p>
    <w:p>
      <w:pPr>
        <w:pStyle w:val="style0"/>
        <w:ind w:firstLine="0"/>
        <w:rPr>
          <w:lang w:val="es-ES"/>
        </w:rPr>
      </w:pPr>
      <w:r>
        <w:rPr>
          <w:lang w:val="es-ES"/>
        </w:rPr>
        <w:t>Contaminación de suelo, aire y agua por residuos orgánicos.</w:t>
      </w:r>
    </w:p>
    <w:p>
      <w:pPr>
        <w:pStyle w:val="style1"/>
        <w:numPr>
          <w:ilvl w:val="0"/>
          <w:numId w:val="1"/>
        </w:numPr>
        <w:rPr>
          <w:lang w:val="es-PE"/>
        </w:rPr>
      </w:pPr>
      <w:r>
        <w:rPr>
          <w:lang w:val="es-PE"/>
        </w:rPr>
        <w:t>Metodología</w:t>
      </w:r>
    </w:p>
    <w:p>
      <w:pPr>
        <w:pStyle w:val="style2"/>
        <w:rPr>
          <w:lang w:val="es-PE"/>
        </w:rPr>
      </w:pPr>
      <w:r>
        <w:rPr>
          <w:lang w:val="es-PE"/>
        </w:rPr>
        <w:t xml:space="preserve">2.1 </w:t>
      </w:r>
      <w:r>
        <w:rPr>
          <w:lang w:val="es-PE"/>
        </w:rPr>
        <w:t>Diseño Metodológico</w:t>
      </w:r>
    </w:p>
    <w:p>
      <w:pPr>
        <w:pStyle w:val="style0"/>
        <w:rPr>
          <w:lang w:val="es-PE"/>
        </w:rPr>
      </w:pPr>
      <w:r>
        <w:rPr>
          <w:lang w:val="es-PE"/>
        </w:rPr>
        <w:t xml:space="preserve">Para mi investigación sobre el uso de residuos orgánicos para producir biogás, emplearé un diseño experimental longitudinal, ya que este enfoque permite evaluar cómo diferentes tipos de residuos (como restos de comida, estiércol o desechos agrícolas) afectan la producción de biogás a lo largo del tiempo, bajo condiciones controladas de temperatura y tiempo de descomposición. Esta metodología es respaldada por autores como Gerardo A. O. de la Torre (“Biogás: Producción y Aplicaciones”, 2018), David M. R. de la Vega (“Digestión Anaeróbica: Fundamentos y Aplicaciones”, 2019), M. A. K. H. Al </w:t>
      </w:r>
      <w:r>
        <w:rPr>
          <w:lang w:val="es-PE"/>
        </w:rPr>
        <w:t>Seadi</w:t>
      </w:r>
      <w:r>
        <w:rPr>
          <w:lang w:val="es-PE"/>
        </w:rPr>
        <w:t xml:space="preserve"> (“</w:t>
      </w:r>
      <w:r>
        <w:rPr>
          <w:lang w:val="es-PE"/>
        </w:rPr>
        <w:t>Biogas</w:t>
      </w:r>
      <w:r>
        <w:rPr>
          <w:lang w:val="es-PE"/>
        </w:rPr>
        <w:t xml:space="preserve"> </w:t>
      </w:r>
      <w:r>
        <w:rPr>
          <w:lang w:val="es-PE"/>
        </w:rPr>
        <w:t>Production</w:t>
      </w:r>
      <w:r>
        <w:rPr>
          <w:lang w:val="es-PE"/>
        </w:rPr>
        <w:t xml:space="preserve"> </w:t>
      </w:r>
      <w:r>
        <w:rPr>
          <w:lang w:val="es-PE"/>
        </w:rPr>
        <w:t>from</w:t>
      </w:r>
      <w:r>
        <w:rPr>
          <w:lang w:val="es-PE"/>
        </w:rPr>
        <w:t xml:space="preserve"> </w:t>
      </w:r>
      <w:r>
        <w:rPr>
          <w:lang w:val="es-PE"/>
        </w:rPr>
        <w:t>Organic</w:t>
      </w:r>
      <w:r>
        <w:rPr>
          <w:lang w:val="es-PE"/>
        </w:rPr>
        <w:t xml:space="preserve"> </w:t>
      </w:r>
      <w:r>
        <w:rPr>
          <w:lang w:val="es-PE"/>
        </w:rPr>
        <w:t>Waste</w:t>
      </w:r>
      <w:r>
        <w:rPr>
          <w:lang w:val="es-PE"/>
        </w:rPr>
        <w:t>: A Review”, 2020), R. A. Z. de la Cruz (“Optimización de la Producción de Biogás a partir de Residuos Orgánicos”, 2021), J. M. H. García (“Energía Renovable: Biogás y su Potencial”, 2020) y A. L. P. Fernández (“Estudio de la Digestión Anaeróbica en Residuos Orgánicos”, 2019), quienes destacan la importancia de controlar variables como la temperatura, el pH y el tiempo de retención hidráulica para optimizar la eficiencia del proceso de digestión anaeróbica y maximizar la generación de biogás. Este enfoque experimental permitirá identificar la combinación de residuos y condiciones que resulten en la mayor producción de biogás, contribuyendo así al desarrollo de soluciones energéticas sostenibles y adaptadas a contextos locales.</w:t>
      </w:r>
    </w:p>
    <w:p>
      <w:pPr>
        <w:pStyle w:val="style0"/>
        <w:rPr>
          <w:lang w:val="es-PE"/>
        </w:rPr>
      </w:pPr>
    </w:p>
    <w:p>
      <w:pPr>
        <w:pStyle w:val="style2"/>
        <w:rPr>
          <w:lang w:val="es-PE"/>
        </w:rPr>
      </w:pPr>
      <w:r>
        <w:rPr>
          <w:lang w:val="es-PE"/>
        </w:rPr>
        <w:t xml:space="preserve">2.2 </w:t>
      </w:r>
      <w:r>
        <w:rPr>
          <w:lang w:val="es-PE"/>
        </w:rPr>
        <w:t>Diseño muestral</w:t>
      </w:r>
    </w:p>
    <w:p>
      <w:pPr>
        <w:pStyle w:val="style2"/>
        <w:rPr>
          <w:rFonts w:eastAsia="Calibri"/>
          <w:b w:val="false"/>
          <w:bCs w:val="false"/>
          <w:szCs w:val="22"/>
          <w:lang w:val="es-PE"/>
        </w:rPr>
      </w:pPr>
      <w:r>
        <w:rPr>
          <w:rFonts w:eastAsia="Calibri"/>
          <w:b w:val="false"/>
          <w:bCs w:val="false"/>
          <w:szCs w:val="22"/>
          <w:lang w:val="es-PE"/>
        </w:rPr>
        <w:t xml:space="preserve">                </w:t>
      </w:r>
      <w:r>
        <w:rPr>
          <w:rFonts w:eastAsia="Calibri"/>
          <w:b w:val="false"/>
          <w:bCs w:val="false"/>
          <w:szCs w:val="22"/>
          <w:lang w:val="es-PE"/>
        </w:rPr>
        <w:t>La población de estudio está conformada por residuos orgánicos generados en mercados municipales y fuentes agroindustriales, incluyendo frutas, verduras, cáscaras y estiércol. La muestra será seleccionada mediante un muestreo estratificado, considerando cada tipo de residuo como un estrato homogéneo, siguiendo las directrices de la Norma Técnica Peruana NTP 700.001:2007 para muestreo de lotes heterogéneos. Cada estrato se muestreará de forma aleatoria para obtener representatividad y minimizar sesgos. El tamaño de la muestra se determinará en función del volumen disponible y la capacidad de los biodigestores, garantizando al menos tres réplicas por tipo de residuo para asegurar validez estadística. La unidad de análisis será el lote de residuo procesado en cada biodigestor. Se incluirán residuos frescos, libres de contaminantes químicos o inertes, y se excluirán aquellos con presencia de inhibidores conocidos o almacenados por más de 48 horas para evitar alteraciones previas.</w:t>
      </w:r>
    </w:p>
    <w:p>
      <w:pPr>
        <w:pStyle w:val="style2"/>
        <w:rPr>
          <w:lang w:val="es-PE"/>
        </w:rPr>
      </w:pPr>
      <w:r>
        <w:rPr>
          <w:lang w:val="es-PE"/>
        </w:rPr>
        <w:t xml:space="preserve">2.3 </w:t>
      </w:r>
      <w:r>
        <w:rPr>
          <w:lang w:val="es-PE"/>
        </w:rPr>
        <w:t>Técnicas de Recolección de Datos</w:t>
      </w:r>
    </w:p>
    <w:p>
      <w:pPr>
        <w:pStyle w:val="style0"/>
        <w:jc w:val="both"/>
        <w:rPr>
          <w:lang w:val="es-PE"/>
        </w:rPr>
      </w:pPr>
      <w:r>
        <w:rPr>
          <w:lang w:val="es-PE"/>
        </w:rPr>
        <w:t>Para evaluar la producción de biogás, recolectaré datos mediante mediciones</w:t>
      </w:r>
      <w:r>
        <w:rPr>
          <w:lang w:val="es-PE"/>
        </w:rPr>
        <w:t xml:space="preserve"> </w:t>
      </w:r>
      <w:r>
        <w:rPr>
          <w:lang w:val="es-PE"/>
        </w:rPr>
        <w:t>diarias en biodigestores, registrando: la composición de residuos(grasas/azúcares), condiciones ambientales (temperatura, pH, humedad) y</w:t>
      </w:r>
      <w:r>
        <w:rPr>
          <w:lang w:val="es-PE"/>
        </w:rPr>
        <w:t xml:space="preserve"> </w:t>
      </w:r>
      <w:r>
        <w:rPr>
          <w:lang w:val="es-PE"/>
        </w:rPr>
        <w:t>resultados (volumen/calidad de biogás, degradación de materia). Esto permitirá</w:t>
      </w:r>
      <w:r>
        <w:rPr>
          <w:lang w:val="es-PE"/>
        </w:rPr>
        <w:t xml:space="preserve"> </w:t>
      </w:r>
      <w:r>
        <w:rPr>
          <w:lang w:val="es-PE"/>
        </w:rPr>
        <w:t>analizar cómo cada variable independiente afecta la producción y calidad del</w:t>
      </w:r>
      <w:r>
        <w:rPr>
          <w:lang w:val="es-PE"/>
        </w:rPr>
        <w:t xml:space="preserve"> </w:t>
      </w:r>
      <w:r>
        <w:rPr>
          <w:lang w:val="es-PE"/>
        </w:rPr>
        <w:t>biogás (variables dependientes).</w:t>
      </w:r>
    </w:p>
    <w:p>
      <w:pPr>
        <w:pStyle w:val="style2"/>
        <w:rPr>
          <w:lang w:val="es-PE"/>
        </w:rPr>
      </w:pPr>
      <w:r>
        <w:rPr>
          <w:lang w:val="es-PE"/>
        </w:rPr>
        <w:t xml:space="preserve">2.4 </w:t>
      </w:r>
      <w:r>
        <w:rPr>
          <w:lang w:val="es-PE"/>
        </w:rPr>
        <w:t>Técnicas  Estadísticas</w:t>
      </w:r>
      <w:r>
        <w:rPr>
          <w:lang w:val="es-PE"/>
        </w:rPr>
        <w:t xml:space="preserve"> para el Procesamiento de la Información</w:t>
      </w:r>
    </w:p>
    <w:p>
      <w:pPr>
        <w:pStyle w:val="style0"/>
        <w:rPr>
          <w:lang w:val="es-PE"/>
        </w:rPr>
      </w:pPr>
      <w:r>
        <w:rPr>
          <w:lang w:val="es-PE"/>
        </w:rPr>
        <w:t xml:space="preserve">Para la comprobación de las hipótesis planteadas en la investigación, se emplearán métodos estadísticos que permitan analizar la influencia de las variables independientes sobre la producción y calidad del biogás. El procesamiento de datos se realizará principalmente con el software R, por su capacidad para análisis estadísticos avanzados y manejo de datos longitudinales, complementado con Microsoft Excel para la organización y visualización inicial de la información. Se aplicarán pruebas de normalidad, como Shapiro-Wilk, para determinar si los datos siguen una distribución normal, lo cual </w:t>
      </w:r>
      <w:r>
        <w:rPr>
          <w:lang w:val="es-PE"/>
        </w:rPr>
        <w:t>definirá la elección de pruebas paramétricas o no paramétricas. En caso de normalidad, se utilizarán análisis de varianza (ANOVA) de medidas repetidas para evaluar diferencias significativas entre tipos de residuos y condiciones a lo largo del tiempo; si no se cumple esta condición, se recurrirá a pruebas no paramétricas como Kruskal-Wallis o Friedman. Además, se implementarán modelos lineales mixtos para considerar efectos fijos y aleatorios, ajustando la variabilidad entre réplicas y permitiendo un análisis más preciso de datos longitudinales. En esta sección también se detallarán otros métodos de análisis que no requieran software, en caso de ser aplicables, para garantizar un tratamiento integral y riguroso de la información obtenida.</w:t>
      </w:r>
    </w:p>
    <w:p>
      <w:pPr>
        <w:pStyle w:val="style2"/>
        <w:rPr>
          <w:lang w:val="es-PE"/>
        </w:rPr>
      </w:pPr>
      <w:r>
        <w:rPr>
          <w:lang w:val="es-PE"/>
        </w:rPr>
        <w:t xml:space="preserve">2.5 </w:t>
      </w:r>
      <w:r>
        <w:rPr>
          <w:lang w:val="es-PE"/>
        </w:rPr>
        <w:t>Aspectos Éticos</w:t>
      </w:r>
      <w:r>
        <w:rPr>
          <w:lang w:val="es-PE"/>
        </w:rPr>
        <w:t xml:space="preserve"> (de ser necesario)</w:t>
      </w:r>
    </w:p>
    <w:p>
      <w:pPr>
        <w:pStyle w:val="style0"/>
        <w:rPr>
          <w:lang w:val="es-PE"/>
        </w:rPr>
      </w:pPr>
      <w:r>
        <w:rPr>
          <w:lang w:val="es-PE"/>
        </w:rPr>
        <w:t>La presente investigación se desarrollará bajo el estricto cumplimiento de los principios éticos establecidos por la Universidad Peruana Unión (UPeU) y las normativas nacionales e internacionales vigentes. Según la normativa institucional, toda investigación que involucre sujetos humanos o animales debe contar con la aprobación previa del Comité de Ética correspondiente, ya sea de la UPeU o de la entidad donde se realice el estudio (UPeU, 2023).</w:t>
      </w:r>
    </w:p>
    <w:p>
      <w:pPr>
        <w:pStyle w:val="style0"/>
        <w:rPr>
          <w:lang w:val="es-PE"/>
        </w:rPr>
      </w:pPr>
    </w:p>
    <w:p>
      <w:pPr>
        <w:pStyle w:val="style0"/>
        <w:rPr>
          <w:lang w:val="es-PE"/>
        </w:rPr>
      </w:pPr>
      <w:r>
        <w:rPr>
          <w:lang w:val="en-US"/>
        </w:rPr>
        <w:t>En este proyecto, dado que no se contempla la participación directa de seres humanos ni animales, no es necesaria la evaluación por un comité de ética en cuanto a la manipulación de sujetos vivos. No obstante, si se emplea información o datos que no sean de acceso público, se solicitará la autorización formal de las entidades propietarias, garantizando la confidencialidad y el uso responsable de la información, conforme a lo estipulado en la Guía para la Evaluación Ética de Proyectos de Investigación del Ministerio de Salud del Perú (2016).</w:t>
      </w:r>
    </w:p>
    <w:p>
      <w:pPr>
        <w:pStyle w:val="style0"/>
        <w:rPr>
          <w:lang w:val="es-PE"/>
        </w:rPr>
      </w:pPr>
    </w:p>
    <w:p>
      <w:pPr>
        <w:pStyle w:val="style0"/>
        <w:rPr>
          <w:lang w:val="es-PE"/>
        </w:rPr>
      </w:pPr>
      <w:r>
        <w:rPr>
          <w:lang w:val="en-US"/>
        </w:rPr>
        <w:t>Para investigaciones que involucren trabajadores de la UPeU, se requerirá la aprobación del Comité de Ética en Investigación de la universidad para obtener los permisos necesarios. En cambio, para estudios que involucren estudiantes de la UPeU, bastará con la aprobación del comité de ética a nivel de facultad, gestionada a través del Centro de Investigación e Innovación correspondiente, sin necesidad de permisos adicionales (UPeU, 2023).</w:t>
      </w:r>
    </w:p>
    <w:p>
      <w:pPr>
        <w:pStyle w:val="style0"/>
        <w:spacing w:after="200" w:lineRule="auto" w:line="276"/>
        <w:ind w:firstLine="0"/>
        <w:rPr>
          <w:rFonts w:eastAsia="Times New Roman"/>
          <w:b/>
          <w:bCs/>
          <w:szCs w:val="28"/>
          <w:lang w:val="es-PE"/>
        </w:rPr>
      </w:pPr>
      <w:r>
        <w:rPr>
          <w:lang w:val="es-PE"/>
        </w:rPr>
        <w:br w:type="page"/>
      </w:r>
    </w:p>
    <w:p>
      <w:pPr>
        <w:pStyle w:val="style1"/>
        <w:numPr>
          <w:ilvl w:val="0"/>
          <w:numId w:val="1"/>
        </w:numPr>
        <w:rPr>
          <w:lang w:val="es-PE"/>
        </w:rPr>
      </w:pPr>
      <w:r>
        <w:rPr>
          <w:lang w:val="es-PE"/>
        </w:rPr>
        <w:t>Administración del Proyecto</w:t>
      </w:r>
    </w:p>
    <w:p>
      <w:pPr>
        <w:pStyle w:val="style2"/>
        <w:rPr>
          <w:lang w:val="es-PE"/>
        </w:rPr>
      </w:pPr>
      <w:r>
        <w:rPr>
          <w:lang w:val="es-PE"/>
        </w:rPr>
        <w:t xml:space="preserve">3.1 </w:t>
      </w:r>
      <w:r>
        <w:rPr>
          <w:lang w:val="es-PE"/>
        </w:rPr>
        <w:t>Cronograma de Actividades</w:t>
      </w:r>
    </w:p>
    <w:p>
      <w:pPr>
        <w:pStyle w:val="style0"/>
        <w:ind w:firstLine="0"/>
        <w:rPr>
          <w:lang w:val="es-PE"/>
        </w:rPr>
      </w:pPr>
      <w:r>
        <w:rPr>
          <w:lang w:val="es-PE"/>
        </w:rPr>
        <w:t>Tabla 1</w:t>
      </w:r>
    </w:p>
    <w:p>
      <w:pPr>
        <w:pStyle w:val="style0"/>
        <w:ind w:firstLine="0"/>
        <w:rPr>
          <w:lang w:val="es-PE"/>
        </w:rPr>
      </w:pPr>
      <w:r>
        <w:rPr>
          <w:lang w:val="es-PE"/>
        </w:rPr>
        <w:t>Cronograma de Actividades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2430"/>
        <w:gridCol w:w="450"/>
        <w:gridCol w:w="450"/>
        <w:gridCol w:w="450"/>
        <w:gridCol w:w="540"/>
        <w:gridCol w:w="450"/>
        <w:gridCol w:w="450"/>
        <w:gridCol w:w="450"/>
        <w:gridCol w:w="450"/>
        <w:gridCol w:w="450"/>
        <w:gridCol w:w="462"/>
        <w:gridCol w:w="462"/>
        <w:gridCol w:w="462"/>
      </w:tblGrid>
      <w:tr>
        <w:trPr/>
        <w:tc>
          <w:tcPr>
            <w:tcW w:w="3565" w:type="dxa"/>
            <w:gridSpan w:val="2"/>
            <w:tcBorders/>
            <w:shd w:val="clear" w:color="auto" w:fill="auto"/>
          </w:tcPr>
          <w:p>
            <w:pPr>
              <w:pStyle w:val="style0"/>
              <w:ind w:firstLine="0"/>
              <w:rPr>
                <w:lang w:val="es-PE"/>
              </w:rPr>
            </w:pPr>
            <w:r>
              <w:rPr>
                <w:lang w:val="es-PE"/>
              </w:rPr>
              <w:t>Descripción de Actividades</w:t>
            </w:r>
          </w:p>
        </w:tc>
        <w:tc>
          <w:tcPr>
            <w:tcW w:w="450" w:type="dxa"/>
            <w:tcBorders/>
            <w:shd w:val="clear" w:color="auto" w:fill="auto"/>
          </w:tcPr>
          <w:p>
            <w:pPr>
              <w:pStyle w:val="style0"/>
              <w:ind w:firstLine="0"/>
              <w:jc w:val="center"/>
              <w:rPr>
                <w:lang w:val="es-PE"/>
              </w:rPr>
            </w:pPr>
            <w:r>
              <w:rPr>
                <w:lang w:val="es-PE"/>
              </w:rPr>
              <w:t>1</w:t>
            </w:r>
          </w:p>
        </w:tc>
        <w:tc>
          <w:tcPr>
            <w:tcW w:w="450" w:type="dxa"/>
            <w:tcBorders/>
            <w:shd w:val="clear" w:color="auto" w:fill="auto"/>
          </w:tcPr>
          <w:p>
            <w:pPr>
              <w:pStyle w:val="style0"/>
              <w:ind w:firstLine="0"/>
              <w:jc w:val="center"/>
              <w:rPr>
                <w:lang w:val="es-PE"/>
              </w:rPr>
            </w:pPr>
            <w:r>
              <w:rPr>
                <w:lang w:val="es-PE"/>
              </w:rPr>
              <w:t>2</w:t>
            </w:r>
          </w:p>
        </w:tc>
        <w:tc>
          <w:tcPr>
            <w:tcW w:w="450" w:type="dxa"/>
            <w:tcBorders/>
            <w:shd w:val="clear" w:color="auto" w:fill="auto"/>
          </w:tcPr>
          <w:p>
            <w:pPr>
              <w:pStyle w:val="style0"/>
              <w:ind w:firstLine="0"/>
              <w:jc w:val="center"/>
              <w:rPr>
                <w:lang w:val="es-PE"/>
              </w:rPr>
            </w:pPr>
            <w:r>
              <w:rPr>
                <w:lang w:val="es-PE"/>
              </w:rPr>
              <w:t>3</w:t>
            </w:r>
          </w:p>
        </w:tc>
        <w:tc>
          <w:tcPr>
            <w:tcW w:w="540" w:type="dxa"/>
            <w:tcBorders/>
            <w:shd w:val="clear" w:color="auto" w:fill="auto"/>
          </w:tcPr>
          <w:p>
            <w:pPr>
              <w:pStyle w:val="style0"/>
              <w:ind w:firstLine="0"/>
              <w:jc w:val="center"/>
              <w:rPr>
                <w:lang w:val="es-PE"/>
              </w:rPr>
            </w:pPr>
            <w:r>
              <w:rPr>
                <w:lang w:val="es-PE"/>
              </w:rPr>
              <w:t>4</w:t>
            </w:r>
          </w:p>
        </w:tc>
        <w:tc>
          <w:tcPr>
            <w:tcW w:w="450" w:type="dxa"/>
            <w:tcBorders/>
            <w:shd w:val="clear" w:color="auto" w:fill="auto"/>
          </w:tcPr>
          <w:p>
            <w:pPr>
              <w:pStyle w:val="style0"/>
              <w:ind w:firstLine="0"/>
              <w:jc w:val="center"/>
              <w:rPr>
                <w:lang w:val="es-PE"/>
              </w:rPr>
            </w:pPr>
            <w:r>
              <w:rPr>
                <w:lang w:val="es-PE"/>
              </w:rPr>
              <w:t>5</w:t>
            </w:r>
          </w:p>
        </w:tc>
        <w:tc>
          <w:tcPr>
            <w:tcW w:w="450" w:type="dxa"/>
            <w:tcBorders/>
            <w:shd w:val="clear" w:color="auto" w:fill="auto"/>
          </w:tcPr>
          <w:p>
            <w:pPr>
              <w:pStyle w:val="style0"/>
              <w:ind w:firstLine="0"/>
              <w:jc w:val="center"/>
              <w:rPr>
                <w:lang w:val="es-PE"/>
              </w:rPr>
            </w:pPr>
            <w:r>
              <w:rPr>
                <w:lang w:val="es-PE"/>
              </w:rPr>
              <w:t>6</w:t>
            </w:r>
          </w:p>
        </w:tc>
        <w:tc>
          <w:tcPr>
            <w:tcW w:w="450" w:type="dxa"/>
            <w:tcBorders/>
            <w:shd w:val="clear" w:color="auto" w:fill="auto"/>
          </w:tcPr>
          <w:p>
            <w:pPr>
              <w:pStyle w:val="style0"/>
              <w:ind w:firstLine="0"/>
              <w:jc w:val="center"/>
              <w:rPr>
                <w:lang w:val="es-PE"/>
              </w:rPr>
            </w:pPr>
            <w:r>
              <w:rPr>
                <w:lang w:val="es-PE"/>
              </w:rPr>
              <w:t>7</w:t>
            </w:r>
          </w:p>
        </w:tc>
        <w:tc>
          <w:tcPr>
            <w:tcW w:w="450" w:type="dxa"/>
            <w:tcBorders/>
            <w:shd w:val="clear" w:color="auto" w:fill="auto"/>
          </w:tcPr>
          <w:p>
            <w:pPr>
              <w:pStyle w:val="style0"/>
              <w:ind w:firstLine="0"/>
              <w:jc w:val="center"/>
              <w:rPr>
                <w:lang w:val="es-PE"/>
              </w:rPr>
            </w:pPr>
            <w:r>
              <w:rPr>
                <w:lang w:val="es-PE"/>
              </w:rPr>
              <w:t>8</w:t>
            </w:r>
          </w:p>
        </w:tc>
        <w:tc>
          <w:tcPr>
            <w:tcW w:w="450" w:type="dxa"/>
            <w:tcBorders/>
            <w:shd w:val="clear" w:color="auto" w:fill="auto"/>
          </w:tcPr>
          <w:p>
            <w:pPr>
              <w:pStyle w:val="style0"/>
              <w:ind w:firstLine="0"/>
              <w:jc w:val="center"/>
              <w:rPr>
                <w:lang w:val="es-PE"/>
              </w:rPr>
            </w:pPr>
            <w:r>
              <w:rPr>
                <w:lang w:val="es-PE"/>
              </w:rPr>
              <w:t>9</w:t>
            </w:r>
          </w:p>
        </w:tc>
        <w:tc>
          <w:tcPr>
            <w:tcW w:w="450" w:type="dxa"/>
            <w:tcBorders/>
            <w:shd w:val="clear" w:color="auto" w:fill="auto"/>
          </w:tcPr>
          <w:p>
            <w:pPr>
              <w:pStyle w:val="style0"/>
              <w:ind w:firstLine="0"/>
              <w:jc w:val="center"/>
              <w:rPr>
                <w:lang w:val="es-PE"/>
              </w:rPr>
            </w:pPr>
            <w:r>
              <w:rPr>
                <w:lang w:val="es-PE"/>
              </w:rPr>
              <w:t>10</w:t>
            </w:r>
          </w:p>
        </w:tc>
        <w:tc>
          <w:tcPr>
            <w:tcW w:w="450" w:type="dxa"/>
            <w:tcBorders/>
            <w:shd w:val="clear" w:color="auto" w:fill="auto"/>
          </w:tcPr>
          <w:p>
            <w:pPr>
              <w:pStyle w:val="style0"/>
              <w:ind w:firstLine="0"/>
              <w:jc w:val="center"/>
              <w:rPr>
                <w:lang w:val="es-PE"/>
              </w:rPr>
            </w:pPr>
            <w:r>
              <w:rPr>
                <w:lang w:val="es-PE"/>
              </w:rPr>
              <w:t>11</w:t>
            </w:r>
          </w:p>
        </w:tc>
        <w:tc>
          <w:tcPr>
            <w:tcW w:w="450" w:type="dxa"/>
            <w:tcBorders/>
            <w:shd w:val="clear" w:color="auto" w:fill="auto"/>
          </w:tcPr>
          <w:p>
            <w:pPr>
              <w:pStyle w:val="style0"/>
              <w:ind w:firstLine="0"/>
              <w:jc w:val="center"/>
              <w:rPr>
                <w:lang w:val="es-PE"/>
              </w:rPr>
            </w:pPr>
            <w:r>
              <w:rPr>
                <w:lang w:val="es-PE"/>
              </w:rPr>
              <w:t>12</w:t>
            </w:r>
          </w:p>
        </w:tc>
      </w:tr>
      <w:tr>
        <w:tblPrEx/>
        <w:trPr/>
        <w:tc>
          <w:tcPr>
            <w:tcW w:w="1135" w:type="dxa"/>
            <w:vMerge w:val="restart"/>
            <w:tcBorders/>
            <w:shd w:val="clear" w:color="auto" w:fill="auto"/>
          </w:tcPr>
          <w:p>
            <w:pPr>
              <w:pStyle w:val="style0"/>
              <w:spacing w:lineRule="auto" w:line="240"/>
              <w:ind w:firstLine="0"/>
              <w:jc w:val="center"/>
              <w:rPr>
                <w:lang w:val="es-PE"/>
              </w:rPr>
            </w:pPr>
            <w:r>
              <w:rPr>
                <w:lang w:val="es-PE"/>
              </w:rPr>
              <w:t>Proyecto</w:t>
            </w:r>
          </w:p>
        </w:tc>
        <w:tc>
          <w:tcPr>
            <w:tcW w:w="2430" w:type="dxa"/>
            <w:tcBorders/>
            <w:shd w:val="clear" w:color="auto" w:fill="auto"/>
          </w:tcPr>
          <w:p>
            <w:pPr>
              <w:pStyle w:val="style0"/>
              <w:spacing w:lineRule="auto" w:line="240"/>
              <w:ind w:firstLine="0"/>
              <w:rPr>
                <w:lang w:val="es-PE"/>
              </w:rPr>
            </w:pPr>
            <w:r>
              <w:rPr>
                <w:lang w:val="es-PE"/>
              </w:rPr>
              <w:t>Búsqueda de información</w:t>
            </w:r>
          </w:p>
        </w:tc>
        <w:tc>
          <w:tcPr>
            <w:tcW w:w="450" w:type="dxa"/>
            <w:tcBorders/>
            <w:shd w:val="clear" w:color="auto" w:fill="auto"/>
          </w:tcPr>
          <w:p>
            <w:pPr>
              <w:pStyle w:val="style0"/>
              <w:ind w:firstLine="0"/>
              <w:rPr>
                <w:lang w:val="es-PE"/>
              </w:rPr>
            </w:pPr>
            <w:r>
              <w:rPr>
                <w:lang w:val="en-US"/>
              </w:rPr>
              <w:t>X</w:t>
            </w:r>
          </w:p>
        </w:tc>
        <w:tc>
          <w:tcPr>
            <w:tcW w:w="450" w:type="dxa"/>
            <w:tcBorders/>
            <w:shd w:val="clear" w:color="auto" w:fill="auto"/>
          </w:tcPr>
          <w:p>
            <w:pPr>
              <w:pStyle w:val="style0"/>
              <w:ind w:firstLine="0"/>
              <w:rPr>
                <w:lang w:val="es-PE"/>
              </w:rPr>
            </w:pPr>
            <w:r>
              <w:rPr>
                <w:lang w:val="en-US"/>
              </w:rPr>
              <w:t>X</w:t>
            </w:r>
          </w:p>
        </w:tc>
        <w:tc>
          <w:tcPr>
            <w:tcW w:w="450" w:type="dxa"/>
            <w:tcBorders/>
            <w:shd w:val="clear" w:color="auto" w:fill="auto"/>
          </w:tcPr>
          <w:p>
            <w:pPr>
              <w:pStyle w:val="style0"/>
              <w:ind w:firstLine="0"/>
              <w:rPr>
                <w:lang w:val="es-PE"/>
              </w:rPr>
            </w:pPr>
          </w:p>
        </w:tc>
        <w:tc>
          <w:tcPr>
            <w:tcW w:w="54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r>
      <w:tr>
        <w:tblPrEx/>
        <w:trPr/>
        <w:tc>
          <w:tcPr>
            <w:tcW w:w="1135" w:type="dxa"/>
            <w:vMerge w:val="continue"/>
            <w:tcBorders/>
            <w:shd w:val="clear" w:color="auto" w:fill="auto"/>
          </w:tcPr>
          <w:p>
            <w:pPr>
              <w:pStyle w:val="style0"/>
              <w:spacing w:lineRule="auto" w:line="240"/>
              <w:ind w:firstLine="0"/>
              <w:rPr>
                <w:lang w:val="es-PE"/>
              </w:rPr>
            </w:pPr>
          </w:p>
        </w:tc>
        <w:tc>
          <w:tcPr>
            <w:tcW w:w="2430" w:type="dxa"/>
            <w:tcBorders/>
            <w:shd w:val="clear" w:color="auto" w:fill="auto"/>
          </w:tcPr>
          <w:p>
            <w:pPr>
              <w:pStyle w:val="style0"/>
              <w:spacing w:lineRule="auto" w:line="240"/>
              <w:ind w:firstLine="0"/>
              <w:rPr>
                <w:lang w:val="es-PE"/>
              </w:rPr>
            </w:pPr>
            <w:r>
              <w:rPr>
                <w:lang w:val="es-PE"/>
              </w:rPr>
              <w:t>Diseño de estudio</w:t>
            </w: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r>
              <w:rPr>
                <w:lang w:val="en-US"/>
              </w:rPr>
              <w:t>X</w:t>
            </w:r>
          </w:p>
        </w:tc>
        <w:tc>
          <w:tcPr>
            <w:tcW w:w="450" w:type="dxa"/>
            <w:tcBorders/>
            <w:shd w:val="clear" w:color="auto" w:fill="auto"/>
          </w:tcPr>
          <w:p>
            <w:pPr>
              <w:pStyle w:val="style0"/>
              <w:ind w:firstLine="0"/>
              <w:rPr>
                <w:lang w:val="es-PE"/>
              </w:rPr>
            </w:pPr>
            <w:r>
              <w:rPr>
                <w:lang w:val="en-US"/>
              </w:rPr>
              <w:t>X</w:t>
            </w:r>
          </w:p>
        </w:tc>
        <w:tc>
          <w:tcPr>
            <w:tcW w:w="54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r>
      <w:tr>
        <w:tblPrEx/>
        <w:trPr/>
        <w:tc>
          <w:tcPr>
            <w:tcW w:w="1135" w:type="dxa"/>
            <w:vMerge w:val="continue"/>
            <w:tcBorders/>
            <w:shd w:val="clear" w:color="auto" w:fill="auto"/>
          </w:tcPr>
          <w:p>
            <w:pPr>
              <w:pStyle w:val="style0"/>
              <w:spacing w:lineRule="auto" w:line="240"/>
              <w:ind w:firstLine="0"/>
              <w:rPr>
                <w:lang w:val="es-PE"/>
              </w:rPr>
            </w:pPr>
          </w:p>
        </w:tc>
        <w:tc>
          <w:tcPr>
            <w:tcW w:w="2430" w:type="dxa"/>
            <w:tcBorders/>
            <w:shd w:val="clear" w:color="auto" w:fill="auto"/>
          </w:tcPr>
          <w:p>
            <w:pPr>
              <w:pStyle w:val="style0"/>
              <w:spacing w:lineRule="auto" w:line="240"/>
              <w:ind w:firstLine="0"/>
              <w:rPr>
                <w:lang w:val="es-PE"/>
              </w:rPr>
            </w:pPr>
            <w:r>
              <w:rPr>
                <w:lang w:val="es-PE"/>
              </w:rPr>
              <w:t>Aprobación</w:t>
            </w: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r>
              <w:rPr>
                <w:lang w:val="en-US"/>
              </w:rPr>
              <w:t>X</w:t>
            </w:r>
          </w:p>
        </w:tc>
        <w:tc>
          <w:tcPr>
            <w:tcW w:w="540" w:type="dxa"/>
            <w:tcBorders/>
            <w:shd w:val="clear" w:color="auto" w:fill="auto"/>
          </w:tcPr>
          <w:p>
            <w:pPr>
              <w:pStyle w:val="style0"/>
              <w:ind w:firstLine="0"/>
              <w:rPr>
                <w:lang w:val="es-PE"/>
              </w:rPr>
            </w:pPr>
            <w:r>
              <w:rPr>
                <w:lang w:val="en-US"/>
              </w:rPr>
              <w:t>X</w:t>
            </w: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r>
      <w:tr>
        <w:tblPrEx/>
        <w:trPr/>
        <w:tc>
          <w:tcPr>
            <w:tcW w:w="1135" w:type="dxa"/>
            <w:vMerge w:val="restart"/>
            <w:tcBorders/>
            <w:shd w:val="clear" w:color="auto" w:fill="auto"/>
          </w:tcPr>
          <w:p>
            <w:pPr>
              <w:pStyle w:val="style0"/>
              <w:spacing w:lineRule="auto" w:line="240"/>
              <w:ind w:firstLine="0"/>
              <w:rPr>
                <w:lang w:val="es-PE"/>
              </w:rPr>
            </w:pPr>
            <w:r>
              <w:rPr>
                <w:lang w:val="es-PE"/>
              </w:rPr>
              <w:t>Ejecución</w:t>
            </w:r>
          </w:p>
        </w:tc>
        <w:tc>
          <w:tcPr>
            <w:tcW w:w="2430" w:type="dxa"/>
            <w:tcBorders/>
            <w:shd w:val="clear" w:color="auto" w:fill="auto"/>
          </w:tcPr>
          <w:p>
            <w:pPr>
              <w:pStyle w:val="style0"/>
              <w:spacing w:lineRule="auto" w:line="240"/>
              <w:ind w:firstLine="0"/>
              <w:rPr>
                <w:lang w:val="es-PE"/>
              </w:rPr>
            </w:pPr>
            <w:r>
              <w:rPr>
                <w:lang w:val="es-PE"/>
              </w:rPr>
              <w:t>Recolección de datos</w:t>
            </w: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r>
              <w:rPr>
                <w:lang w:val="en-US"/>
              </w:rPr>
              <w:t>X</w:t>
            </w:r>
          </w:p>
        </w:tc>
        <w:tc>
          <w:tcPr>
            <w:tcW w:w="540" w:type="dxa"/>
            <w:tcBorders/>
            <w:shd w:val="clear" w:color="auto" w:fill="auto"/>
          </w:tcPr>
          <w:p>
            <w:pPr>
              <w:pStyle w:val="style0"/>
              <w:ind w:firstLine="0"/>
              <w:rPr>
                <w:lang w:val="es-PE"/>
              </w:rPr>
            </w:pPr>
            <w:r>
              <w:rPr>
                <w:lang w:val="en-US"/>
              </w:rPr>
              <w:t>X</w:t>
            </w: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r>
      <w:tr>
        <w:tblPrEx/>
        <w:trPr/>
        <w:tc>
          <w:tcPr>
            <w:tcW w:w="1135" w:type="dxa"/>
            <w:vMerge w:val="continue"/>
            <w:tcBorders/>
            <w:shd w:val="clear" w:color="auto" w:fill="auto"/>
          </w:tcPr>
          <w:p>
            <w:pPr>
              <w:pStyle w:val="style0"/>
              <w:spacing w:lineRule="auto" w:line="240"/>
              <w:ind w:firstLine="0"/>
              <w:rPr>
                <w:lang w:val="es-PE"/>
              </w:rPr>
            </w:pPr>
          </w:p>
        </w:tc>
        <w:tc>
          <w:tcPr>
            <w:tcW w:w="2430" w:type="dxa"/>
            <w:tcBorders/>
            <w:shd w:val="clear" w:color="auto" w:fill="auto"/>
          </w:tcPr>
          <w:p>
            <w:pPr>
              <w:pStyle w:val="style0"/>
              <w:spacing w:lineRule="auto" w:line="240"/>
              <w:ind w:firstLine="0"/>
              <w:rPr>
                <w:lang w:val="es-PE"/>
              </w:rPr>
            </w:pPr>
            <w:r>
              <w:rPr>
                <w:lang w:val="es-PE"/>
              </w:rPr>
              <w:t>Procesamiento</w:t>
            </w:r>
            <w:r>
              <w:rPr>
                <w:lang w:val="es-PE"/>
              </w:rPr>
              <w:t xml:space="preserve"> y </w:t>
            </w:r>
            <w:r>
              <w:rPr>
                <w:lang w:val="es-PE"/>
              </w:rPr>
              <w:t xml:space="preserve">análisis </w:t>
            </w:r>
            <w:r>
              <w:rPr>
                <w:lang w:val="es-PE"/>
              </w:rPr>
              <w:t xml:space="preserve"> de</w:t>
            </w:r>
            <w:r>
              <w:rPr>
                <w:lang w:val="es-PE"/>
              </w:rPr>
              <w:t xml:space="preserve"> datos</w:t>
            </w: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540" w:type="dxa"/>
            <w:tcBorders/>
            <w:shd w:val="clear" w:color="auto" w:fill="auto"/>
          </w:tcPr>
          <w:p>
            <w:pPr>
              <w:pStyle w:val="style0"/>
              <w:ind w:firstLine="0"/>
              <w:rPr>
                <w:lang w:val="es-PE"/>
              </w:rPr>
            </w:pPr>
            <w:r>
              <w:rPr>
                <w:lang w:val="en-US"/>
              </w:rPr>
              <w:t>X</w:t>
            </w:r>
          </w:p>
        </w:tc>
        <w:tc>
          <w:tcPr>
            <w:tcW w:w="450" w:type="dxa"/>
            <w:tcBorders/>
            <w:shd w:val="clear" w:color="auto" w:fill="auto"/>
          </w:tcPr>
          <w:p>
            <w:pPr>
              <w:pStyle w:val="style0"/>
              <w:ind w:firstLine="0"/>
              <w:rPr>
                <w:lang w:val="es-PE"/>
              </w:rPr>
            </w:pPr>
            <w:r>
              <w:rPr>
                <w:lang w:val="en-US"/>
              </w:rPr>
              <w:t>X</w:t>
            </w: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r>
      <w:tr>
        <w:tblPrEx/>
        <w:trPr/>
        <w:tc>
          <w:tcPr>
            <w:tcW w:w="1135" w:type="dxa"/>
            <w:vMerge w:val="restart"/>
            <w:tcBorders/>
            <w:shd w:val="clear" w:color="auto" w:fill="auto"/>
          </w:tcPr>
          <w:p>
            <w:pPr>
              <w:pStyle w:val="style0"/>
              <w:spacing w:lineRule="auto" w:line="240"/>
              <w:ind w:firstLine="0"/>
              <w:rPr>
                <w:lang w:val="es-PE"/>
              </w:rPr>
            </w:pPr>
            <w:r>
              <w:rPr>
                <w:lang w:val="es-PE"/>
              </w:rPr>
              <w:t>Redacción</w:t>
            </w:r>
          </w:p>
        </w:tc>
        <w:tc>
          <w:tcPr>
            <w:tcW w:w="2430" w:type="dxa"/>
            <w:tcBorders/>
            <w:shd w:val="clear" w:color="auto" w:fill="auto"/>
          </w:tcPr>
          <w:p>
            <w:pPr>
              <w:pStyle w:val="style0"/>
              <w:spacing w:lineRule="auto" w:line="240"/>
              <w:ind w:firstLine="0"/>
              <w:rPr>
                <w:lang w:val="es-PE"/>
              </w:rPr>
            </w:pPr>
            <w:r>
              <w:rPr>
                <w:lang w:val="es-PE"/>
              </w:rPr>
              <w:t>Redacción de borradores del articulo</w:t>
            </w: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54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r>
              <w:rPr>
                <w:lang w:val="en-US"/>
              </w:rPr>
              <w:t>X</w:t>
            </w:r>
          </w:p>
        </w:tc>
        <w:tc>
          <w:tcPr>
            <w:tcW w:w="450" w:type="dxa"/>
            <w:tcBorders/>
            <w:shd w:val="clear" w:color="auto" w:fill="auto"/>
          </w:tcPr>
          <w:p>
            <w:pPr>
              <w:pStyle w:val="style0"/>
              <w:ind w:firstLine="0"/>
              <w:rPr>
                <w:lang w:val="es-PE"/>
              </w:rPr>
            </w:pPr>
            <w:r>
              <w:rPr>
                <w:lang w:val="en-US"/>
              </w:rPr>
              <w:t>X</w:t>
            </w:r>
          </w:p>
        </w:tc>
        <w:tc>
          <w:tcPr>
            <w:tcW w:w="450" w:type="dxa"/>
            <w:tcBorders/>
            <w:shd w:val="clear" w:color="auto" w:fill="auto"/>
          </w:tcPr>
          <w:p>
            <w:pPr>
              <w:pStyle w:val="style0"/>
              <w:ind w:firstLine="0"/>
              <w:rPr>
                <w:lang w:val="es-PE"/>
              </w:rPr>
            </w:pPr>
            <w:r>
              <w:rPr>
                <w:lang w:val="en-US"/>
              </w:rPr>
              <w:t>X</w:t>
            </w:r>
          </w:p>
        </w:tc>
        <w:tc>
          <w:tcPr>
            <w:tcW w:w="450" w:type="dxa"/>
            <w:tcBorders/>
            <w:shd w:val="clear" w:color="auto" w:fill="auto"/>
          </w:tcPr>
          <w:p>
            <w:pPr>
              <w:pStyle w:val="style0"/>
              <w:ind w:firstLine="0"/>
              <w:rPr>
                <w:lang w:val="es-PE"/>
              </w:rPr>
            </w:pPr>
            <w:r>
              <w:rPr>
                <w:lang w:val="en-US"/>
              </w:rPr>
              <w:t>X</w:t>
            </w: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r>
      <w:tr>
        <w:tblPrEx/>
        <w:trPr/>
        <w:tc>
          <w:tcPr>
            <w:tcW w:w="1135" w:type="dxa"/>
            <w:vMerge w:val="continue"/>
            <w:tcBorders/>
            <w:shd w:val="clear" w:color="auto" w:fill="auto"/>
          </w:tcPr>
          <w:p>
            <w:pPr>
              <w:pStyle w:val="style0"/>
              <w:spacing w:lineRule="auto" w:line="240"/>
              <w:ind w:firstLine="0"/>
              <w:rPr>
                <w:lang w:val="es-PE"/>
              </w:rPr>
            </w:pPr>
          </w:p>
        </w:tc>
        <w:tc>
          <w:tcPr>
            <w:tcW w:w="2430" w:type="dxa"/>
            <w:tcBorders/>
            <w:shd w:val="clear" w:color="auto" w:fill="auto"/>
          </w:tcPr>
          <w:p>
            <w:pPr>
              <w:pStyle w:val="style0"/>
              <w:spacing w:lineRule="auto" w:line="240"/>
              <w:ind w:firstLine="0"/>
              <w:rPr>
                <w:lang w:val="es-PE"/>
              </w:rPr>
            </w:pPr>
            <w:r>
              <w:rPr>
                <w:lang w:val="es-PE"/>
              </w:rPr>
              <w:t>Dictaminación del artículo</w:t>
            </w: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54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r>
              <w:rPr>
                <w:lang w:val="en-US"/>
              </w:rPr>
              <w:t>X</w:t>
            </w:r>
          </w:p>
        </w:tc>
        <w:tc>
          <w:tcPr>
            <w:tcW w:w="450" w:type="dxa"/>
            <w:tcBorders/>
            <w:shd w:val="clear" w:color="auto" w:fill="auto"/>
          </w:tcPr>
          <w:p>
            <w:pPr>
              <w:pStyle w:val="style0"/>
              <w:ind w:firstLine="0"/>
              <w:rPr>
                <w:lang w:val="es-PE"/>
              </w:rPr>
            </w:pPr>
            <w:r>
              <w:rPr>
                <w:lang w:val="en-US"/>
              </w:rPr>
              <w:t>X</w:t>
            </w: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r>
      <w:tr>
        <w:tblPrEx/>
        <w:trPr/>
        <w:tc>
          <w:tcPr>
            <w:tcW w:w="1135" w:type="dxa"/>
            <w:vMerge w:val="continue"/>
            <w:tcBorders/>
            <w:shd w:val="clear" w:color="auto" w:fill="auto"/>
          </w:tcPr>
          <w:p>
            <w:pPr>
              <w:pStyle w:val="style0"/>
              <w:spacing w:lineRule="auto" w:line="240"/>
              <w:ind w:firstLine="0"/>
              <w:rPr>
                <w:lang w:val="es-PE"/>
              </w:rPr>
            </w:pPr>
          </w:p>
        </w:tc>
        <w:tc>
          <w:tcPr>
            <w:tcW w:w="2430" w:type="dxa"/>
            <w:tcBorders/>
            <w:shd w:val="clear" w:color="auto" w:fill="auto"/>
          </w:tcPr>
          <w:p>
            <w:pPr>
              <w:pStyle w:val="style0"/>
              <w:spacing w:lineRule="auto" w:line="240"/>
              <w:ind w:firstLine="0"/>
              <w:rPr>
                <w:lang w:val="es-PE"/>
              </w:rPr>
            </w:pPr>
            <w:r>
              <w:rPr>
                <w:lang w:val="es-PE"/>
              </w:rPr>
              <w:t>Sumisión del artículo</w:t>
            </w: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54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r>
              <w:rPr>
                <w:lang w:val="en-US"/>
              </w:rPr>
              <w:t>X</w:t>
            </w:r>
          </w:p>
        </w:tc>
        <w:tc>
          <w:tcPr>
            <w:tcW w:w="450" w:type="dxa"/>
            <w:tcBorders/>
            <w:shd w:val="clear" w:color="auto" w:fill="auto"/>
          </w:tcPr>
          <w:p>
            <w:pPr>
              <w:pStyle w:val="style0"/>
              <w:ind w:firstLine="0"/>
              <w:rPr>
                <w:lang w:val="es-PE"/>
              </w:rPr>
            </w:pPr>
            <w:r>
              <w:rPr>
                <w:lang w:val="en-US"/>
              </w:rPr>
              <w:t>X</w:t>
            </w:r>
          </w:p>
        </w:tc>
        <w:tc>
          <w:tcPr>
            <w:tcW w:w="450" w:type="dxa"/>
            <w:tcBorders/>
            <w:shd w:val="clear" w:color="auto" w:fill="auto"/>
          </w:tcPr>
          <w:p>
            <w:pPr>
              <w:pStyle w:val="style0"/>
              <w:ind w:firstLine="0"/>
              <w:rPr>
                <w:lang w:val="es-PE"/>
              </w:rPr>
            </w:pPr>
          </w:p>
        </w:tc>
      </w:tr>
      <w:tr>
        <w:tblPrEx/>
        <w:trPr/>
        <w:tc>
          <w:tcPr>
            <w:tcW w:w="1135" w:type="dxa"/>
            <w:vMerge w:val="restart"/>
            <w:tcBorders/>
            <w:shd w:val="clear" w:color="auto" w:fill="auto"/>
          </w:tcPr>
          <w:p>
            <w:pPr>
              <w:pStyle w:val="style0"/>
              <w:spacing w:lineRule="auto" w:line="240"/>
              <w:ind w:firstLine="0"/>
              <w:rPr>
                <w:lang w:val="es-PE"/>
              </w:rPr>
            </w:pPr>
            <w:r>
              <w:rPr>
                <w:lang w:val="es-PE"/>
              </w:rPr>
              <w:t>Cierre</w:t>
            </w:r>
          </w:p>
        </w:tc>
        <w:tc>
          <w:tcPr>
            <w:tcW w:w="2430" w:type="dxa"/>
            <w:tcBorders/>
            <w:shd w:val="clear" w:color="auto" w:fill="auto"/>
          </w:tcPr>
          <w:p>
            <w:pPr>
              <w:pStyle w:val="style0"/>
              <w:spacing w:lineRule="auto" w:line="240"/>
              <w:ind w:firstLine="0"/>
              <w:rPr>
                <w:lang w:val="es-PE"/>
              </w:rPr>
            </w:pPr>
            <w:r>
              <w:rPr>
                <w:lang w:val="es-PE"/>
              </w:rPr>
              <w:t>Sustentación</w:t>
            </w: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54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r>
              <w:rPr>
                <w:lang w:val="en-US"/>
              </w:rPr>
              <w:t>X</w:t>
            </w:r>
          </w:p>
        </w:tc>
        <w:tc>
          <w:tcPr>
            <w:tcW w:w="450" w:type="dxa"/>
            <w:tcBorders/>
            <w:shd w:val="clear" w:color="auto" w:fill="auto"/>
          </w:tcPr>
          <w:p>
            <w:pPr>
              <w:pStyle w:val="style0"/>
              <w:ind w:firstLine="0"/>
              <w:rPr>
                <w:lang w:val="es-PE"/>
              </w:rPr>
            </w:pPr>
          </w:p>
        </w:tc>
      </w:tr>
      <w:tr>
        <w:tblPrEx/>
        <w:trPr/>
        <w:tc>
          <w:tcPr>
            <w:tcW w:w="1135" w:type="dxa"/>
            <w:vMerge w:val="continue"/>
            <w:tcBorders/>
            <w:shd w:val="clear" w:color="auto" w:fill="auto"/>
          </w:tcPr>
          <w:p>
            <w:pPr>
              <w:pStyle w:val="style0"/>
              <w:spacing w:lineRule="auto" w:line="240"/>
              <w:ind w:firstLine="0"/>
              <w:rPr>
                <w:lang w:val="es-PE"/>
              </w:rPr>
            </w:pPr>
          </w:p>
        </w:tc>
        <w:tc>
          <w:tcPr>
            <w:tcW w:w="2430" w:type="dxa"/>
            <w:tcBorders/>
            <w:shd w:val="clear" w:color="auto" w:fill="auto"/>
          </w:tcPr>
          <w:p>
            <w:pPr>
              <w:pStyle w:val="style0"/>
              <w:spacing w:lineRule="auto" w:line="240"/>
              <w:ind w:firstLine="0"/>
              <w:rPr>
                <w:lang w:val="es-PE"/>
              </w:rPr>
            </w:pPr>
            <w:r>
              <w:rPr>
                <w:lang w:val="es-PE"/>
              </w:rPr>
              <w:t>Entrega del documento final al repositorio</w:t>
            </w: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54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p>
        </w:tc>
        <w:tc>
          <w:tcPr>
            <w:tcW w:w="450" w:type="dxa"/>
            <w:tcBorders/>
            <w:shd w:val="clear" w:color="auto" w:fill="auto"/>
          </w:tcPr>
          <w:p>
            <w:pPr>
              <w:pStyle w:val="style0"/>
              <w:ind w:firstLine="0"/>
              <w:rPr>
                <w:lang w:val="es-PE"/>
              </w:rPr>
            </w:pPr>
            <w:r>
              <w:rPr>
                <w:lang w:val="en-US"/>
              </w:rPr>
              <w:t>X</w:t>
            </w:r>
          </w:p>
        </w:tc>
      </w:tr>
    </w:tbl>
    <w:p>
      <w:pPr>
        <w:pStyle w:val="style0"/>
        <w:ind w:firstLine="0"/>
        <w:rPr>
          <w:lang w:val="es-PE"/>
        </w:rPr>
      </w:pPr>
    </w:p>
    <w:p>
      <w:pPr>
        <w:pStyle w:val="style0"/>
        <w:spacing w:after="200" w:lineRule="auto" w:line="276"/>
        <w:ind w:firstLine="0"/>
        <w:rPr>
          <w:rFonts w:eastAsia="Times New Roman"/>
          <w:b/>
          <w:bCs/>
          <w:szCs w:val="26"/>
          <w:lang w:val="es-PE"/>
        </w:rPr>
      </w:pPr>
      <w:r>
        <w:rPr>
          <w:lang w:val="es-PE"/>
        </w:rPr>
        <w:br w:type="page"/>
      </w:r>
    </w:p>
    <w:p>
      <w:pPr>
        <w:pStyle w:val="style2"/>
        <w:rPr>
          <w:lang w:val="es-PE"/>
        </w:rPr>
      </w:pPr>
      <w:r>
        <w:rPr>
          <w:lang w:val="es-PE"/>
        </w:rPr>
        <w:t xml:space="preserve">3.2 </w:t>
      </w:r>
      <w:r>
        <w:rPr>
          <w:lang w:val="es-PE"/>
        </w:rPr>
        <w:t>Presupuesto Proyectado</w:t>
      </w:r>
    </w:p>
    <w:p>
      <w:pPr>
        <w:pStyle w:val="style0"/>
        <w:ind w:firstLine="0"/>
        <w:rPr>
          <w:lang w:val="es-PE"/>
        </w:rPr>
      </w:pPr>
      <w:r>
        <w:rPr>
          <w:lang w:val="es-PE"/>
        </w:rPr>
        <w:t>Tabla 2</w:t>
      </w:r>
    </w:p>
    <w:p>
      <w:pPr>
        <w:pStyle w:val="style0"/>
        <w:ind w:firstLine="0"/>
        <w:rPr>
          <w:lang w:val="es-PE"/>
        </w:rPr>
      </w:pPr>
      <w:r>
        <w:rPr>
          <w:lang w:val="es-PE"/>
        </w:rPr>
        <w:t>Presupuesto Proyectado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2338"/>
        <w:gridCol w:w="2336"/>
        <w:gridCol w:w="2337"/>
      </w:tblGrid>
      <w:tr>
        <w:trPr/>
        <w:tc>
          <w:tcPr>
            <w:tcW w:w="2394" w:type="dxa"/>
            <w:tcBorders/>
            <w:shd w:val="clear" w:color="auto" w:fill="auto"/>
          </w:tcPr>
          <w:p>
            <w:pPr>
              <w:pStyle w:val="style0"/>
              <w:ind w:firstLine="0"/>
              <w:rPr>
                <w:lang w:val="es-PE"/>
              </w:rPr>
            </w:pPr>
            <w:r>
              <w:rPr>
                <w:lang w:val="es-PE"/>
              </w:rPr>
              <w:t>Tipo de Recursos</w:t>
            </w:r>
          </w:p>
        </w:tc>
        <w:tc>
          <w:tcPr>
            <w:tcW w:w="2394" w:type="dxa"/>
            <w:tcBorders/>
            <w:shd w:val="clear" w:color="auto" w:fill="auto"/>
          </w:tcPr>
          <w:p>
            <w:pPr>
              <w:pStyle w:val="style0"/>
              <w:ind w:firstLine="0"/>
              <w:rPr>
                <w:lang w:val="es-PE"/>
              </w:rPr>
            </w:pPr>
            <w:r>
              <w:rPr>
                <w:lang w:val="es-PE"/>
              </w:rPr>
              <w:t>Cantidad</w:t>
            </w:r>
          </w:p>
        </w:tc>
        <w:tc>
          <w:tcPr>
            <w:tcW w:w="2394" w:type="dxa"/>
            <w:tcBorders/>
            <w:shd w:val="clear" w:color="auto" w:fill="auto"/>
          </w:tcPr>
          <w:p>
            <w:pPr>
              <w:pStyle w:val="style0"/>
              <w:ind w:firstLine="0"/>
              <w:rPr>
                <w:lang w:val="es-PE"/>
              </w:rPr>
            </w:pPr>
            <w:r>
              <w:rPr>
                <w:lang w:val="es-PE"/>
              </w:rPr>
              <w:t>Precio por Unidad</w:t>
            </w:r>
          </w:p>
        </w:tc>
        <w:tc>
          <w:tcPr>
            <w:tcW w:w="2394" w:type="dxa"/>
            <w:tcBorders/>
            <w:shd w:val="clear" w:color="auto" w:fill="auto"/>
          </w:tcPr>
          <w:p>
            <w:pPr>
              <w:pStyle w:val="style0"/>
              <w:ind w:firstLine="0"/>
              <w:rPr>
                <w:lang w:val="es-PE"/>
              </w:rPr>
            </w:pPr>
            <w:r>
              <w:rPr>
                <w:lang w:val="es-PE"/>
              </w:rPr>
              <w:t>Precio Total</w:t>
            </w:r>
          </w:p>
        </w:tc>
      </w:tr>
      <w:tr>
        <w:tblPrEx/>
        <w:trPr/>
        <w:tc>
          <w:tcPr>
            <w:tcW w:w="2394" w:type="dxa"/>
            <w:tcBorders/>
            <w:shd w:val="clear" w:color="auto" w:fill="auto"/>
          </w:tcPr>
          <w:p>
            <w:pPr>
              <w:pStyle w:val="style0"/>
              <w:spacing w:lineRule="auto" w:line="240"/>
              <w:ind w:firstLine="0"/>
              <w:rPr>
                <w:lang w:val="es-PE"/>
              </w:rPr>
            </w:pPr>
            <w:r>
              <w:rPr>
                <w:lang w:val="en-US"/>
              </w:rPr>
              <w:t>Transporte de residuos</w:t>
            </w:r>
          </w:p>
        </w:tc>
        <w:tc>
          <w:tcPr>
            <w:tcW w:w="2394" w:type="dxa"/>
            <w:tcBorders/>
            <w:shd w:val="clear" w:color="auto" w:fill="auto"/>
          </w:tcPr>
          <w:p>
            <w:pPr>
              <w:pStyle w:val="style0"/>
              <w:ind w:firstLine="0"/>
              <w:rPr>
                <w:lang w:val="es-PE"/>
              </w:rPr>
            </w:pPr>
            <w:r>
              <w:rPr>
                <w:lang w:val="en-US"/>
              </w:rPr>
              <w:t>12 viajes</w:t>
            </w:r>
          </w:p>
        </w:tc>
        <w:tc>
          <w:tcPr>
            <w:tcW w:w="2394" w:type="dxa"/>
            <w:tcBorders/>
            <w:shd w:val="clear" w:color="auto" w:fill="auto"/>
          </w:tcPr>
          <w:p>
            <w:pPr>
              <w:pStyle w:val="style0"/>
              <w:ind w:firstLine="0"/>
              <w:rPr>
                <w:lang w:val="es-PE"/>
              </w:rPr>
            </w:pPr>
            <w:r>
              <w:rPr>
                <w:lang w:val="en-US"/>
              </w:rPr>
              <w:t>S/ 20.00</w:t>
            </w:r>
          </w:p>
        </w:tc>
        <w:tc>
          <w:tcPr>
            <w:tcW w:w="2394" w:type="dxa"/>
            <w:tcBorders/>
            <w:shd w:val="clear" w:color="auto" w:fill="auto"/>
          </w:tcPr>
          <w:p>
            <w:pPr>
              <w:pStyle w:val="style0"/>
              <w:ind w:firstLine="0"/>
              <w:rPr>
                <w:lang w:val="es-PE"/>
              </w:rPr>
            </w:pPr>
            <w:r>
              <w:rPr>
                <w:lang w:val="en-US"/>
              </w:rPr>
              <w:t>S/ 240.00</w:t>
            </w:r>
          </w:p>
        </w:tc>
      </w:tr>
      <w:tr>
        <w:tblPrEx/>
        <w:trPr/>
        <w:tc>
          <w:tcPr>
            <w:tcW w:w="2394" w:type="dxa"/>
            <w:tcBorders/>
            <w:shd w:val="clear" w:color="auto" w:fill="auto"/>
          </w:tcPr>
          <w:p>
            <w:pPr>
              <w:pStyle w:val="style0"/>
              <w:spacing w:lineRule="auto" w:line="240"/>
              <w:ind w:firstLine="0"/>
              <w:rPr>
                <w:lang w:val="es-PE"/>
              </w:rPr>
            </w:pPr>
            <w:r>
              <w:rPr>
                <w:lang w:val="en-US"/>
              </w:rPr>
              <w:t xml:space="preserve">Equipos (Molino Manual) </w:t>
            </w:r>
          </w:p>
        </w:tc>
        <w:tc>
          <w:tcPr>
            <w:tcW w:w="2394" w:type="dxa"/>
            <w:tcBorders/>
            <w:shd w:val="clear" w:color="auto" w:fill="auto"/>
          </w:tcPr>
          <w:p>
            <w:pPr>
              <w:pStyle w:val="style0"/>
              <w:ind w:firstLine="0"/>
              <w:rPr>
                <w:lang w:val="es-PE"/>
              </w:rPr>
            </w:pPr>
            <w:r>
              <w:rPr>
                <w:lang w:val="en-US"/>
              </w:rPr>
              <w:t>1</w:t>
            </w:r>
          </w:p>
        </w:tc>
        <w:tc>
          <w:tcPr>
            <w:tcW w:w="2394" w:type="dxa"/>
            <w:tcBorders/>
            <w:shd w:val="clear" w:color="auto" w:fill="auto"/>
          </w:tcPr>
          <w:p>
            <w:pPr>
              <w:pStyle w:val="style0"/>
              <w:ind w:firstLine="0"/>
              <w:rPr>
                <w:lang w:val="es-PE"/>
              </w:rPr>
            </w:pPr>
            <w:r>
              <w:rPr>
                <w:lang w:val="en-US"/>
              </w:rPr>
              <w:t>S/ 600.00</w:t>
            </w:r>
          </w:p>
        </w:tc>
        <w:tc>
          <w:tcPr>
            <w:tcW w:w="2394" w:type="dxa"/>
            <w:tcBorders/>
            <w:shd w:val="clear" w:color="auto" w:fill="auto"/>
          </w:tcPr>
          <w:p>
            <w:pPr>
              <w:pStyle w:val="style0"/>
              <w:ind w:firstLine="0"/>
              <w:rPr>
                <w:lang w:val="es-PE"/>
              </w:rPr>
            </w:pPr>
            <w:r>
              <w:rPr>
                <w:lang w:val="en-US"/>
              </w:rPr>
              <w:t>S/ 600.00</w:t>
            </w:r>
          </w:p>
        </w:tc>
      </w:tr>
      <w:tr>
        <w:tblPrEx/>
        <w:trPr/>
        <w:tc>
          <w:tcPr>
            <w:tcW w:w="2394" w:type="dxa"/>
            <w:tcBorders/>
            <w:shd w:val="clear" w:color="auto" w:fill="auto"/>
          </w:tcPr>
          <w:p>
            <w:pPr>
              <w:pStyle w:val="style0"/>
              <w:spacing w:lineRule="auto" w:line="240"/>
              <w:ind w:firstLine="0"/>
              <w:rPr>
                <w:lang w:val="es-PE"/>
              </w:rPr>
            </w:pPr>
            <w:r>
              <w:rPr>
                <w:lang w:val="en-US"/>
              </w:rPr>
              <w:t xml:space="preserve">Equipos (Biodigestor pilots) </w:t>
            </w:r>
          </w:p>
        </w:tc>
        <w:tc>
          <w:tcPr>
            <w:tcW w:w="2394" w:type="dxa"/>
            <w:tcBorders/>
            <w:shd w:val="clear" w:color="auto" w:fill="auto"/>
          </w:tcPr>
          <w:p>
            <w:pPr>
              <w:pStyle w:val="style0"/>
              <w:ind w:firstLine="0"/>
              <w:rPr>
                <w:lang w:val="es-PE"/>
              </w:rPr>
            </w:pPr>
            <w:r>
              <w:rPr>
                <w:lang w:val="en-US"/>
              </w:rPr>
              <w:t>1</w:t>
            </w:r>
          </w:p>
        </w:tc>
        <w:tc>
          <w:tcPr>
            <w:tcW w:w="2394" w:type="dxa"/>
            <w:tcBorders/>
            <w:shd w:val="clear" w:color="auto" w:fill="auto"/>
          </w:tcPr>
          <w:p>
            <w:pPr>
              <w:pStyle w:val="style0"/>
              <w:ind w:firstLine="0"/>
              <w:rPr>
                <w:lang w:val="es-PE"/>
              </w:rPr>
            </w:pPr>
            <w:r>
              <w:rPr>
                <w:lang w:val="en-US"/>
              </w:rPr>
              <w:t>S/ 1,200.00</w:t>
            </w:r>
          </w:p>
        </w:tc>
        <w:tc>
          <w:tcPr>
            <w:tcW w:w="2394" w:type="dxa"/>
            <w:tcBorders/>
            <w:shd w:val="clear" w:color="auto" w:fill="auto"/>
          </w:tcPr>
          <w:p>
            <w:pPr>
              <w:pStyle w:val="style0"/>
              <w:ind w:firstLine="0"/>
              <w:rPr>
                <w:lang w:val="es-PE"/>
              </w:rPr>
            </w:pPr>
            <w:r>
              <w:rPr>
                <w:lang w:val="en-US"/>
              </w:rPr>
              <w:t>S/ 1,200.00</w:t>
            </w:r>
          </w:p>
        </w:tc>
      </w:tr>
      <w:tr>
        <w:tblPrEx/>
        <w:trPr/>
        <w:tc>
          <w:tcPr>
            <w:tcW w:w="2394" w:type="dxa"/>
            <w:tcBorders/>
            <w:shd w:val="clear" w:color="auto" w:fill="auto"/>
          </w:tcPr>
          <w:p>
            <w:pPr>
              <w:pStyle w:val="style0"/>
              <w:spacing w:lineRule="auto" w:line="240"/>
              <w:ind w:firstLine="0"/>
              <w:rPr>
                <w:lang w:val="es-PE"/>
              </w:rPr>
            </w:pPr>
            <w:r>
              <w:rPr>
                <w:lang w:val="en-US"/>
              </w:rPr>
              <w:t xml:space="preserve">Mangueras, válvulas, recipientes. </w:t>
            </w:r>
          </w:p>
        </w:tc>
        <w:tc>
          <w:tcPr>
            <w:tcW w:w="2394" w:type="dxa"/>
            <w:tcBorders/>
            <w:shd w:val="clear" w:color="auto" w:fill="auto"/>
          </w:tcPr>
          <w:p>
            <w:pPr>
              <w:pStyle w:val="style0"/>
              <w:ind w:firstLine="0"/>
              <w:rPr>
                <w:lang w:val="es-PE"/>
              </w:rPr>
            </w:pPr>
            <w:r>
              <w:rPr>
                <w:lang w:val="en-US"/>
              </w:rPr>
              <w:t>1 lote</w:t>
            </w:r>
          </w:p>
        </w:tc>
        <w:tc>
          <w:tcPr>
            <w:tcW w:w="2394" w:type="dxa"/>
            <w:tcBorders/>
            <w:shd w:val="clear" w:color="auto" w:fill="auto"/>
          </w:tcPr>
          <w:p>
            <w:pPr>
              <w:pStyle w:val="style0"/>
              <w:ind w:firstLine="0"/>
              <w:rPr>
                <w:lang w:val="es-PE"/>
              </w:rPr>
            </w:pPr>
            <w:r>
              <w:rPr>
                <w:lang w:val="en-US"/>
              </w:rPr>
              <w:t>S/ 300.00</w:t>
            </w:r>
          </w:p>
        </w:tc>
        <w:tc>
          <w:tcPr>
            <w:tcW w:w="2394" w:type="dxa"/>
            <w:tcBorders/>
            <w:shd w:val="clear" w:color="auto" w:fill="auto"/>
          </w:tcPr>
          <w:p>
            <w:pPr>
              <w:pStyle w:val="style0"/>
              <w:ind w:firstLine="0"/>
              <w:rPr>
                <w:lang w:val="es-PE"/>
              </w:rPr>
            </w:pPr>
            <w:r>
              <w:rPr>
                <w:lang w:val="en-US"/>
              </w:rPr>
              <w:t>S/ 300.00</w:t>
            </w:r>
          </w:p>
        </w:tc>
      </w:tr>
      <w:tr>
        <w:tblPrEx/>
        <w:trPr/>
        <w:tc>
          <w:tcPr>
            <w:tcW w:w="2394" w:type="dxa"/>
            <w:tcBorders/>
            <w:shd w:val="clear" w:color="auto" w:fill="auto"/>
          </w:tcPr>
          <w:p>
            <w:pPr>
              <w:pStyle w:val="style0"/>
              <w:spacing w:lineRule="auto" w:line="240"/>
              <w:ind w:firstLine="0"/>
              <w:rPr>
                <w:lang w:val="es-PE"/>
              </w:rPr>
            </w:pPr>
            <w:r>
              <w:rPr>
                <w:lang w:val="en-US"/>
              </w:rPr>
              <w:t>Energía electrica</w:t>
            </w:r>
          </w:p>
        </w:tc>
        <w:tc>
          <w:tcPr>
            <w:tcW w:w="2394" w:type="dxa"/>
            <w:tcBorders/>
            <w:shd w:val="clear" w:color="auto" w:fill="auto"/>
          </w:tcPr>
          <w:p>
            <w:pPr>
              <w:pStyle w:val="style0"/>
              <w:ind w:firstLine="0"/>
              <w:rPr>
                <w:lang w:val="es-PE"/>
              </w:rPr>
            </w:pPr>
            <w:r>
              <w:rPr>
                <w:lang w:val="en-US"/>
              </w:rPr>
              <w:t>12 meses</w:t>
            </w:r>
          </w:p>
        </w:tc>
        <w:tc>
          <w:tcPr>
            <w:tcW w:w="2394" w:type="dxa"/>
            <w:tcBorders/>
            <w:shd w:val="clear" w:color="auto" w:fill="auto"/>
          </w:tcPr>
          <w:p>
            <w:pPr>
              <w:pStyle w:val="style0"/>
              <w:ind w:firstLine="0"/>
              <w:rPr>
                <w:lang w:val="es-PE"/>
              </w:rPr>
            </w:pPr>
            <w:r>
              <w:rPr>
                <w:lang w:val="en-US"/>
              </w:rPr>
              <w:t>S/ 100</w:t>
            </w:r>
          </w:p>
        </w:tc>
        <w:tc>
          <w:tcPr>
            <w:tcW w:w="2394" w:type="dxa"/>
            <w:tcBorders/>
            <w:shd w:val="clear" w:color="auto" w:fill="auto"/>
          </w:tcPr>
          <w:p>
            <w:pPr>
              <w:pStyle w:val="style0"/>
              <w:ind w:firstLine="0"/>
              <w:rPr>
                <w:lang w:val="es-PE"/>
              </w:rPr>
            </w:pPr>
            <w:r>
              <w:rPr>
                <w:lang w:val="en-US"/>
              </w:rPr>
              <w:t>S/ 1,200.00</w:t>
            </w:r>
          </w:p>
        </w:tc>
      </w:tr>
      <w:tr>
        <w:tblPrEx/>
        <w:trPr/>
        <w:tc>
          <w:tcPr>
            <w:tcW w:w="7182" w:type="dxa"/>
            <w:gridSpan w:val="3"/>
            <w:tcBorders/>
            <w:shd w:val="clear" w:color="auto" w:fill="auto"/>
          </w:tcPr>
          <w:p>
            <w:pPr>
              <w:pStyle w:val="style0"/>
              <w:ind w:firstLine="0"/>
              <w:jc w:val="center"/>
              <w:rPr>
                <w:lang w:val="es-PE"/>
              </w:rPr>
            </w:pPr>
            <w:r>
              <w:rPr>
                <w:lang w:val="es-PE"/>
              </w:rPr>
              <w:t>Total</w:t>
            </w:r>
          </w:p>
        </w:tc>
        <w:tc>
          <w:tcPr>
            <w:tcW w:w="2394" w:type="dxa"/>
            <w:tcBorders/>
            <w:shd w:val="clear" w:color="auto" w:fill="auto"/>
          </w:tcPr>
          <w:p>
            <w:pPr>
              <w:pStyle w:val="style0"/>
              <w:ind w:firstLine="0"/>
              <w:rPr>
                <w:lang w:val="es-PE"/>
              </w:rPr>
            </w:pPr>
            <w:r>
              <w:rPr>
                <w:lang w:val="en-US"/>
              </w:rPr>
              <w:t>S/ 3,540.00</w:t>
            </w:r>
          </w:p>
        </w:tc>
      </w:tr>
    </w:tbl>
    <w:p>
      <w:pPr>
        <w:pStyle w:val="style0"/>
        <w:ind w:firstLine="0"/>
        <w:rPr>
          <w:lang w:val="es-PE"/>
        </w:rPr>
      </w:pPr>
    </w:p>
    <w:p>
      <w:pPr>
        <w:pStyle w:val="style0"/>
        <w:spacing w:after="200" w:lineRule="auto" w:line="276"/>
        <w:ind w:firstLine="0"/>
        <w:rPr>
          <w:rFonts w:eastAsia="Times New Roman"/>
          <w:b/>
          <w:bCs/>
          <w:szCs w:val="28"/>
          <w:lang w:val="es-PE"/>
        </w:rPr>
      </w:pPr>
      <w:r>
        <w:rPr>
          <w:lang w:val="es-PE"/>
        </w:rPr>
        <w:br w:type="page"/>
      </w:r>
    </w:p>
    <w:p>
      <w:pPr>
        <w:pStyle w:val="style1"/>
        <w:numPr>
          <w:ilvl w:val="0"/>
          <w:numId w:val="1"/>
        </w:numPr>
        <w:rPr>
          <w:lang w:val="es-PE"/>
        </w:rPr>
      </w:pPr>
      <w:r>
        <w:rPr>
          <w:lang w:val="es-PE"/>
        </w:rPr>
        <w:t>Referencias Bibliográficas</w:t>
      </w:r>
    </w:p>
    <w:p>
      <w:pPr>
        <w:pStyle w:val="style0"/>
        <w:spacing w:after="200" w:lineRule="auto" w:line="276"/>
        <w:ind w:left="720" w:hanging="720"/>
        <w:rPr>
          <w:lang w:val="es-PE"/>
        </w:rPr>
      </w:pPr>
      <w:r>
        <w:rPr>
          <w:lang w:val="es-PE"/>
        </w:rPr>
        <w:t>Banco Interamericano de Desarrollo (BID). (2022). Gestión de residuos sólidos en América Latina y el Caribe: Estado, desafíos y oportunidades. Recuperado de https://publications.iadb.org/es/gestion-de-residuos-solidos-en-america-latina-y-el-caribe-estado-desafios-y-oportunidades</w:t>
      </w:r>
    </w:p>
    <w:p>
      <w:pPr>
        <w:pStyle w:val="style0"/>
        <w:spacing w:after="200" w:lineRule="auto" w:line="276"/>
        <w:ind w:left="720" w:hanging="720"/>
        <w:rPr>
          <w:lang w:val="es-PE"/>
        </w:rPr>
      </w:pPr>
    </w:p>
    <w:p>
      <w:pPr>
        <w:pStyle w:val="style0"/>
        <w:spacing w:after="200" w:lineRule="auto" w:line="276"/>
        <w:ind w:left="720" w:hanging="720"/>
        <w:rPr>
          <w:lang w:val="es-PE"/>
        </w:rPr>
      </w:pPr>
      <w:r>
        <w:rPr>
          <w:lang w:val="en-US"/>
        </w:rPr>
        <w:t>Zhang, C., Su, H., Baeyens, J., &amp; Tan, T. (2023). Two-phase anaerobic digestion in the treatment of organic wastes: A review. Bioresource Technology, 383, 123210. https://doi.org/10.1016/j.biortech.2023.123210</w:t>
      </w:r>
    </w:p>
    <w:p>
      <w:pPr>
        <w:pStyle w:val="style0"/>
        <w:spacing w:after="200" w:lineRule="auto" w:line="276"/>
        <w:ind w:left="720" w:hanging="720"/>
        <w:rPr>
          <w:lang w:val="es-PE"/>
        </w:rPr>
      </w:pPr>
    </w:p>
    <w:p>
      <w:pPr>
        <w:pStyle w:val="style0"/>
        <w:spacing w:after="200" w:lineRule="auto" w:line="276"/>
        <w:ind w:left="720" w:hanging="720"/>
        <w:rPr>
          <w:lang w:val="es-PE"/>
        </w:rPr>
      </w:pPr>
      <w:r>
        <w:rPr>
          <w:lang w:val="en-US"/>
        </w:rPr>
        <w:t>Li, Y., Park, S. Y., &amp; Zhu, J. (2011). Solid-state anaerobic digestion for methane production from organic waste. Renewable and Sustainable Energy Reviews, 15(1), 821-826. https://doi.org/10.1016/j.rser.2010.07.042</w:t>
      </w:r>
    </w:p>
    <w:p>
      <w:pPr>
        <w:pStyle w:val="style0"/>
        <w:spacing w:after="200" w:lineRule="auto" w:line="276"/>
        <w:ind w:left="720" w:hanging="720"/>
        <w:rPr>
          <w:lang w:val="es-PE"/>
        </w:rPr>
      </w:pPr>
    </w:p>
    <w:p>
      <w:pPr>
        <w:pStyle w:val="style0"/>
        <w:spacing w:after="200" w:lineRule="auto" w:line="276"/>
        <w:ind w:left="720" w:hanging="720"/>
        <w:rPr>
          <w:lang w:val="es-PE"/>
        </w:rPr>
      </w:pPr>
      <w:r>
        <w:rPr>
          <w:lang w:val="en-US"/>
        </w:rPr>
        <w:t>Bouallagui, H., Ben Cheikh, R., Marouani, L., &amp; Hamdi, M. (2003). Mesophilic biogas production from fruit and vegetable waste in a tubular digester. Bioresource Technology, 86(1), 85-89. https://doi.org/10.1016/S0960-8524(02)00153-9</w:t>
      </w:r>
    </w:p>
    <w:p>
      <w:pPr>
        <w:pStyle w:val="style0"/>
        <w:spacing w:after="200" w:lineRule="auto" w:line="276"/>
        <w:ind w:left="720" w:hanging="720"/>
        <w:rPr>
          <w:lang w:val="es-PE"/>
        </w:rPr>
      </w:pPr>
    </w:p>
    <w:p>
      <w:pPr>
        <w:pStyle w:val="style0"/>
        <w:spacing w:after="200" w:lineRule="auto" w:line="276"/>
        <w:ind w:left="720" w:hanging="720"/>
        <w:rPr>
          <w:lang w:val="es-PE"/>
        </w:rPr>
      </w:pPr>
      <w:r>
        <w:rPr>
          <w:lang w:val="en-US"/>
        </w:rPr>
        <w:t>Mata-Alvarez, J., Dosta, J., Romero-Güiza, M. S., Fonoll, X., Peces, M., &amp; Astals, S. (2014). A critical review on anaerobic co-digestion achievements between 2010 and 2013. Renewable and Sustainable Energy Reviews, 36, 412-427. https://doi.org/10.1016/j.rser.2014.04.039</w:t>
      </w:r>
    </w:p>
    <w:p>
      <w:pPr>
        <w:pStyle w:val="style0"/>
        <w:spacing w:after="200" w:lineRule="auto" w:line="276"/>
        <w:ind w:left="720" w:hanging="720"/>
        <w:rPr>
          <w:lang w:val="es-PE"/>
        </w:rPr>
      </w:pPr>
    </w:p>
    <w:p>
      <w:pPr>
        <w:pStyle w:val="style0"/>
        <w:spacing w:after="200" w:lineRule="auto" w:line="276"/>
        <w:ind w:left="720" w:hanging="720"/>
        <w:rPr>
          <w:lang w:val="es-PE"/>
        </w:rPr>
      </w:pPr>
      <w:r>
        <w:rPr>
          <w:lang w:val="en-US"/>
        </w:rPr>
        <w:t>Kusch, S., Oechsner, H., &amp; Jungbluth, T. (2008). Biogas production in cold climates: Effect of temperature on substrate degradation and process stability. Bioresource Technology, 99(17), 8860-8867. https://doi.org/10.1016/j.biortech.2008.04.061</w:t>
      </w:r>
    </w:p>
    <w:p>
      <w:pPr>
        <w:pStyle w:val="style0"/>
        <w:spacing w:after="200" w:lineRule="auto" w:line="276"/>
        <w:ind w:left="720" w:hanging="720"/>
        <w:rPr>
          <w:lang w:val="es-PE"/>
        </w:rPr>
      </w:pPr>
    </w:p>
    <w:p>
      <w:pPr>
        <w:pStyle w:val="style0"/>
        <w:spacing w:after="200" w:lineRule="auto" w:line="276"/>
        <w:ind w:left="720" w:hanging="720"/>
        <w:rPr>
          <w:lang w:val="es-PE"/>
        </w:rPr>
      </w:pPr>
      <w:r>
        <w:rPr>
          <w:lang w:val="en-US"/>
        </w:rPr>
        <w:t>Instituto Interamericano de Cooperación para la Agricultura (IICA). (2020). Manual para la producción y uso del biogás en zonas rurales de América Latina. Recuperado de https://repositorio.iica.int/handle/11324/13035</w:t>
      </w:r>
    </w:p>
    <w:p>
      <w:pPr>
        <w:pStyle w:val="style0"/>
        <w:spacing w:after="200" w:lineRule="auto" w:line="276"/>
        <w:ind w:left="720" w:hanging="720"/>
        <w:rPr>
          <w:lang w:val="es-PE"/>
        </w:rPr>
      </w:pPr>
    </w:p>
    <w:p>
      <w:pPr>
        <w:pStyle w:val="style0"/>
        <w:spacing w:after="200" w:lineRule="auto" w:line="276"/>
        <w:ind w:left="720" w:hanging="720"/>
        <w:rPr>
          <w:lang w:val="es-PE"/>
        </w:rPr>
      </w:pPr>
      <w:r>
        <w:rPr>
          <w:lang w:val="en-US"/>
        </w:rPr>
        <w:t>Ministerio del Ambiente del Perú (MINAM). (2020). Guía para la gestión integral de residuos sólidos municipales. Recuperado de https://www.minam.gob.pe/gestionambiental/guia-para-la-gestion-integral-de-residuos-solidos-municipales/</w:t>
      </w:r>
    </w:p>
    <w:p>
      <w:pPr>
        <w:pStyle w:val="style0"/>
        <w:spacing w:after="200" w:lineRule="auto" w:line="276"/>
        <w:ind w:left="720" w:hanging="720"/>
        <w:rPr>
          <w:lang w:val="es-PE"/>
        </w:rPr>
      </w:pPr>
    </w:p>
    <w:p>
      <w:pPr>
        <w:pStyle w:val="style0"/>
        <w:spacing w:after="200" w:lineRule="auto" w:line="276"/>
        <w:ind w:left="720" w:hanging="720"/>
        <w:rPr>
          <w:lang w:val="es-PE"/>
        </w:rPr>
      </w:pPr>
      <w:r>
        <w:rPr>
          <w:lang w:val="en-US"/>
        </w:rPr>
        <w:t>Appels, L., Baeyens, J., Degrève, J., &amp; Dewil, R. (2008). Principles and potential of the anaerobic digestion of waste-activated sludge. Progress in Energy and Combustion Science, 34(6), 755-781. https://doi.org/10.1016/j.pecs.2008.06.002</w:t>
      </w:r>
    </w:p>
    <w:p>
      <w:pPr>
        <w:pStyle w:val="style0"/>
        <w:spacing w:after="200" w:lineRule="auto" w:line="276"/>
        <w:ind w:left="720" w:hanging="720"/>
        <w:rPr>
          <w:lang w:val="es-PE"/>
        </w:rPr>
      </w:pPr>
    </w:p>
    <w:p>
      <w:pPr>
        <w:pStyle w:val="style0"/>
        <w:spacing w:after="200" w:lineRule="auto" w:line="276"/>
        <w:ind w:left="720" w:hanging="720"/>
        <w:rPr>
          <w:lang w:val="es-PE"/>
        </w:rPr>
      </w:pPr>
      <w:r>
        <w:rPr>
          <w:lang w:val="en-US"/>
        </w:rPr>
        <w:t>Chen, Y., Cheng, J. J., &amp; Creamer, K. S. (2008). Inhibition of anaerobic digestion process: A review. Bioresource Technology, 99(10), 4044-4064. https://doi.org/10.1016/j.biortech.2007.01.057</w:t>
      </w:r>
    </w:p>
    <w:p>
      <w:pPr>
        <w:pStyle w:val="style0"/>
        <w:spacing w:after="200" w:lineRule="auto" w:line="276"/>
        <w:ind w:left="720" w:hanging="720"/>
        <w:rPr>
          <w:lang w:val="es-PE"/>
        </w:rPr>
      </w:pPr>
    </w:p>
    <w:p>
      <w:pPr>
        <w:pStyle w:val="style0"/>
        <w:spacing w:after="200" w:lineRule="auto" w:line="276"/>
        <w:ind w:left="720" w:hanging="720"/>
        <w:rPr>
          <w:lang w:val="es-PE"/>
        </w:rPr>
      </w:pPr>
      <w:r>
        <w:rPr>
          <w:lang w:val="en-US"/>
        </w:rPr>
        <w:t>Sakar, S., Yetilmezsoy, K., &amp; Kocak, E. (2009). Anaerobic digestion technology in poultry and livestock waste treatment—a literature review. Waste Management &amp; Research, 27(1), 3-18. https://doi.org/10.1177/0734242X08096953</w:t>
      </w:r>
    </w:p>
    <w:p>
      <w:pPr>
        <w:pStyle w:val="style0"/>
        <w:spacing w:after="200" w:lineRule="auto" w:line="276"/>
        <w:ind w:left="720" w:hanging="720"/>
        <w:rPr>
          <w:lang w:val="es-PE"/>
        </w:rPr>
      </w:pPr>
    </w:p>
    <w:p>
      <w:pPr>
        <w:pStyle w:val="style0"/>
        <w:spacing w:after="200" w:lineRule="auto" w:line="276"/>
        <w:ind w:left="720" w:hanging="720"/>
        <w:rPr>
          <w:lang w:val="es-PE"/>
        </w:rPr>
      </w:pPr>
      <w:r>
        <w:rPr>
          <w:lang w:val="en-US"/>
        </w:rPr>
        <w:t>Angelidaki, I., Treu, L., Tsapekos, P., Luo, G., Campanaro, S., Wenzel, H., &amp; Kougias, P. G. (2018). Biogas upgrading and utilization: Current status and perspectives. Biotechnology Advances, 36(2), 452-466. https://doi.org/10.1016/j.biotechadv.2018.01.011</w:t>
      </w:r>
    </w:p>
    <w:p>
      <w:pPr>
        <w:pStyle w:val="style0"/>
        <w:spacing w:after="200" w:lineRule="auto" w:line="276"/>
        <w:ind w:left="720" w:hanging="720"/>
        <w:rPr>
          <w:lang w:val="es-PE"/>
        </w:rPr>
      </w:pPr>
    </w:p>
    <w:p>
      <w:pPr>
        <w:pStyle w:val="style0"/>
        <w:spacing w:after="200" w:lineRule="auto" w:line="276"/>
        <w:ind w:left="720" w:hanging="720"/>
        <w:rPr>
          <w:lang w:val="es-PE"/>
        </w:rPr>
      </w:pPr>
      <w:r>
        <w:rPr>
          <w:lang w:val="en-US"/>
        </w:rPr>
        <w:t>El-Mashad, H. M., &amp; Zhang, R. (2010). Biogas production from co-digestion of dairy manure and food waste. Bioresource Technology, 101(11), 4021-4028. https://doi.org/10.1016/j.biortech.2010.01.027</w:t>
      </w:r>
    </w:p>
    <w:p>
      <w:pPr>
        <w:pStyle w:val="style0"/>
        <w:spacing w:after="200" w:lineRule="auto" w:line="276"/>
        <w:ind w:left="720" w:hanging="720"/>
        <w:rPr>
          <w:lang w:val="es-PE"/>
        </w:rPr>
      </w:pPr>
    </w:p>
    <w:p>
      <w:pPr>
        <w:pStyle w:val="style0"/>
        <w:spacing w:after="200" w:lineRule="auto" w:line="276"/>
        <w:ind w:left="720" w:hanging="720"/>
        <w:rPr>
          <w:lang w:val="es-PE"/>
        </w:rPr>
      </w:pPr>
      <w:r>
        <w:rPr>
          <w:lang w:val="en-US"/>
        </w:rPr>
        <w:t>Ministerio de Salud del Perú. (2016). Guía para la evaluación ética de proyectos de investigación. Recuperado de https://www.ins.gob.pe/insvirtual/images/otrpubs/pdf/guia_evaluacion_etica.pdf</w:t>
      </w:r>
    </w:p>
    <w:p>
      <w:pPr>
        <w:pStyle w:val="style0"/>
        <w:spacing w:after="200" w:lineRule="auto" w:line="276"/>
        <w:rPr>
          <w:rFonts w:eastAsia="Times New Roman"/>
          <w:b/>
          <w:bCs/>
          <w:szCs w:val="28"/>
          <w:lang w:val="es-PE"/>
        </w:rPr>
      </w:pPr>
      <w:r>
        <w:rPr>
          <w:lang w:val="es-PE"/>
        </w:rPr>
        <w:br w:type="page"/>
      </w:r>
    </w:p>
    <w:p>
      <w:pPr>
        <w:pStyle w:val="style1"/>
        <w:numPr>
          <w:ilvl w:val="0"/>
          <w:numId w:val="1"/>
        </w:numPr>
        <w:rPr>
          <w:lang w:val="es-PE"/>
        </w:rPr>
      </w:pPr>
      <w:r>
        <w:rPr>
          <w:lang w:val="es-PE"/>
        </w:rPr>
        <w:t>Anexo A</w:t>
      </w:r>
    </w:p>
    <w:p>
      <w:pPr>
        <w:pStyle w:val="style2"/>
        <w:rPr>
          <w:lang w:val="es-PE"/>
        </w:rPr>
      </w:pPr>
      <w:r>
        <w:rPr>
          <w:lang w:val="es-PE"/>
        </w:rPr>
        <w:t>Instrumentos de Recolección de Datos</w:t>
      </w:r>
    </w:p>
    <w:p>
      <w:pPr>
        <w:pStyle w:val="style0"/>
        <w:rPr/>
      </w:pPr>
    </w:p>
    <w:p>
      <w:pPr>
        <w:pStyle w:val="style0"/>
        <w:rPr>
          <w:lang w:val="es-PE"/>
        </w:rPr>
      </w:pPr>
      <w:r>
        <w:rPr/>
        <w:drawing>
          <wp:inline distL="114300" distT="0" distB="0" distR="114300">
            <wp:extent cx="2971800" cy="2057971"/>
            <wp:effectExtent l="0" t="0" r="0" b="0"/>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3" cstate="print"/>
                    <a:srcRect l="0" t="0" r="0" b="0"/>
                    <a:stretch/>
                  </pic:blipFill>
                  <pic:spPr>
                    <a:xfrm rot="0">
                      <a:off x="0" y="0"/>
                      <a:ext cx="2971800" cy="2057971"/>
                    </a:xfrm>
                    <a:prstGeom prst="rect"/>
                  </pic:spPr>
                </pic:pic>
              </a:graphicData>
            </a:graphic>
          </wp:inline>
        </w:drawing>
      </w:r>
      <w:r>
        <w:rPr/>
        <w:drawing>
          <wp:inline distL="114300" distT="0" distB="0" distR="114300">
            <wp:extent cx="3561926" cy="2466634"/>
            <wp:effectExtent l="0" t="0" r="0" b="0"/>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a:blip r:embed="rId4" cstate="print"/>
                    <a:srcRect l="0" t="0" r="0" b="0"/>
                    <a:stretch/>
                  </pic:blipFill>
                  <pic:spPr>
                    <a:xfrm rot="0">
                      <a:off x="0" y="0"/>
                      <a:ext cx="3561926" cy="2466634"/>
                    </a:xfrm>
                    <a:prstGeom prst="rect"/>
                  </pic:spPr>
                </pic:pic>
              </a:graphicData>
            </a:graphic>
          </wp:inline>
        </w:drawing>
      </w:r>
    </w:p>
    <w:p>
      <w:pPr>
        <w:pStyle w:val="style0"/>
        <w:rPr>
          <w:lang w:val="es-PE"/>
        </w:rPr>
      </w:pPr>
    </w:p>
    <w:p>
      <w:pPr>
        <w:pStyle w:val="style0"/>
        <w:rPr>
          <w:lang w:val="es-PE"/>
        </w:rPr>
      </w:pPr>
    </w:p>
    <w:p>
      <w:pPr>
        <w:pStyle w:val="style0"/>
        <w:spacing w:after="200" w:lineRule="auto" w:line="276"/>
        <w:ind w:firstLine="0"/>
        <w:rPr>
          <w:lang w:val="es-PE"/>
        </w:rPr>
      </w:pPr>
    </w:p>
    <w:p>
      <w:pPr>
        <w:pStyle w:val="style1"/>
        <w:numPr>
          <w:ilvl w:val="0"/>
          <w:numId w:val="1"/>
        </w:numPr>
        <w:rPr>
          <w:lang w:val="es-PE"/>
        </w:rPr>
      </w:pPr>
      <w:r>
        <w:rPr>
          <w:lang w:val="es-PE"/>
        </w:rPr>
        <w:t>Anexo C</w:t>
      </w:r>
    </w:p>
    <w:p>
      <w:pPr>
        <w:pStyle w:val="style2"/>
        <w:rPr>
          <w:lang w:val="es-PE"/>
        </w:rPr>
      </w:pPr>
      <w:r>
        <w:rPr>
          <w:lang w:val="es-PE"/>
        </w:rPr>
        <w:t>Imágenes, planos, figuras, tablas u otros</w:t>
      </w:r>
    </w:p>
    <w:p>
      <w:pPr>
        <w:pStyle w:val="style0"/>
        <w:ind w:firstLine="0"/>
        <w:rPr>
          <w:lang w:val="es-PE"/>
        </w:rPr>
      </w:pPr>
      <w:r>
        <w:rPr>
          <w:lang w:val="en-US"/>
        </w:rPr>
        <w:t>Anexo 2. Tablas de datos experimentales</w:t>
      </w:r>
    </w:p>
    <w:p>
      <w:pPr>
        <w:pStyle w:val="style0"/>
        <w:ind w:firstLine="0"/>
        <w:rPr>
          <w:lang w:val="es-PE"/>
        </w:rPr>
      </w:pPr>
      <w:r>
        <w:rPr>
          <w:lang w:val="en-US"/>
        </w:rPr>
        <w:t>Tabla 1. Composición inicial de los residuos orgánicos utilizados.</w:t>
      </w:r>
    </w:p>
    <w:p>
      <w:pPr>
        <w:pStyle w:val="style0"/>
        <w:ind w:firstLine="0"/>
        <w:rPr>
          <w:lang w:val="es-PE"/>
        </w:rPr>
      </w:pPr>
    </w:p>
    <w:p>
      <w:pPr>
        <w:pStyle w:val="style0"/>
        <w:ind w:firstLine="0"/>
        <w:rPr>
          <w:lang w:val="es-PE"/>
        </w:rPr>
      </w:pPr>
      <w:r>
        <w:rPr>
          <w:lang w:val="en-US"/>
        </w:rPr>
        <w:t>Parámetro</w:t>
        <w:tab/>
        <w:t>Valor promedio</w:t>
      </w:r>
    </w:p>
    <w:p>
      <w:pPr>
        <w:pStyle w:val="style0"/>
        <w:ind w:firstLine="0"/>
        <w:rPr>
          <w:lang w:val="es-PE"/>
        </w:rPr>
      </w:pPr>
      <w:r>
        <w:rPr>
          <w:lang w:val="en-US"/>
        </w:rPr>
        <w:t>Humedad (%)</w:t>
        <w:tab/>
        <w:t>85</w:t>
      </w:r>
    </w:p>
    <w:p>
      <w:pPr>
        <w:pStyle w:val="style0"/>
        <w:ind w:firstLine="0"/>
        <w:rPr>
          <w:lang w:val="es-PE"/>
        </w:rPr>
      </w:pPr>
      <w:r>
        <w:rPr>
          <w:lang w:val="en-US"/>
        </w:rPr>
        <w:t>pH</w:t>
        <w:tab/>
        <w:t>5.2</w:t>
      </w:r>
    </w:p>
    <w:p>
      <w:pPr>
        <w:pStyle w:val="style0"/>
        <w:ind w:firstLine="0"/>
        <w:rPr>
          <w:lang w:val="es-PE"/>
        </w:rPr>
      </w:pPr>
      <w:r>
        <w:rPr>
          <w:lang w:val="en-US"/>
        </w:rPr>
        <w:t>Relación C/N</w:t>
        <w:tab/>
        <w:t>24:1</w:t>
      </w:r>
    </w:p>
    <w:p>
      <w:pPr>
        <w:pStyle w:val="style0"/>
        <w:ind w:firstLine="0"/>
        <w:rPr>
          <w:lang w:val="es-PE"/>
        </w:rPr>
      </w:pPr>
      <w:r>
        <w:rPr>
          <w:lang w:val="en-US"/>
        </w:rPr>
        <w:t>Carbohidratos (%)</w:t>
        <w:tab/>
        <w:t>60</w:t>
      </w:r>
    </w:p>
    <w:p>
      <w:pPr>
        <w:pStyle w:val="style0"/>
        <w:ind w:firstLine="0"/>
        <w:rPr>
          <w:lang w:val="es-PE"/>
        </w:rPr>
      </w:pPr>
      <w:r>
        <w:rPr>
          <w:lang w:val="en-US"/>
        </w:rPr>
        <w:t>Lignina (%)</w:t>
        <w:tab/>
        <w:t>4</w:t>
      </w:r>
    </w:p>
    <w:p>
      <w:pPr>
        <w:pStyle w:val="style0"/>
        <w:ind w:firstLine="0"/>
        <w:rPr>
          <w:lang w:val="es-PE"/>
        </w:rPr>
      </w:pPr>
      <w:r>
        <w:rPr>
          <w:lang w:val="en-US"/>
        </w:rPr>
        <w:t>Tabla 2. Producción diaria de biogás y metano.</w:t>
      </w:r>
    </w:p>
    <w:p>
      <w:pPr>
        <w:pStyle w:val="style0"/>
        <w:ind w:firstLine="0"/>
        <w:rPr>
          <w:lang w:val="es-PE"/>
        </w:rPr>
      </w:pPr>
    </w:p>
    <w:p>
      <w:pPr>
        <w:pStyle w:val="style0"/>
        <w:ind w:firstLine="0"/>
        <w:rPr>
          <w:lang w:val="es-PE"/>
        </w:rPr>
      </w:pPr>
      <w:r>
        <w:rPr>
          <w:lang w:val="en-US"/>
        </w:rPr>
        <w:t>Día</w:t>
        <w:tab/>
        <w:t>Volumen total de biogás (L)</w:t>
        <w:tab/>
        <w:t>% Metano</w:t>
        <w:tab/>
        <w:t>Volumen de metano (L)</w:t>
      </w:r>
    </w:p>
    <w:p>
      <w:pPr>
        <w:pStyle w:val="style0"/>
        <w:ind w:firstLine="0"/>
        <w:rPr>
          <w:lang w:val="es-PE"/>
        </w:rPr>
      </w:pPr>
      <w:r>
        <w:rPr>
          <w:lang w:val="en-US"/>
        </w:rPr>
        <w:t>1</w:t>
        <w:tab/>
        <w:t>1.2</w:t>
        <w:tab/>
        <w:t>55</w:t>
        <w:tab/>
        <w:t>0.66</w:t>
      </w:r>
    </w:p>
    <w:p>
      <w:pPr>
        <w:pStyle w:val="style0"/>
        <w:ind w:firstLine="0"/>
        <w:rPr>
          <w:lang w:val="es-PE"/>
        </w:rPr>
      </w:pPr>
      <w:r>
        <w:rPr>
          <w:lang w:val="en-US"/>
        </w:rPr>
        <w:t>2</w:t>
        <w:tab/>
        <w:t>1.6</w:t>
        <w:tab/>
        <w:t>58</w:t>
        <w:tab/>
        <w:t>0.93</w:t>
      </w:r>
    </w:p>
    <w:sectPr>
      <w:pgSz w:w="12240" w:h="15840" w:orient="portrait"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200247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Arial">
    <w:altName w:val="Arial"/>
    <w:panose1 w:val="020b0604020002020204"/>
    <w:charset w:val="00"/>
    <w:family w:val="swiss"/>
    <w:pitch w:val="variable"/>
    <w:sig w:usb0="E0002EFF" w:usb1="C000785B" w:usb2="00000009" w:usb3="00000000" w:csb0="000001FF" w:csb1="00000000"/>
  </w:font>
  <w:font w:name="Aptos Display">
    <w:altName w:val="Aptos Display"/>
    <w:panose1 w:val="00000000000000000000"/>
    <w:charset w:val="00"/>
    <w:family w:val="swiss"/>
    <w:pitch w:val="variable"/>
    <w:sig w:usb0="20000287" w:usb1="00000003" w:usb2="00000000" w:usb3="00000000" w:csb0="0000019F" w:csb1="00000000"/>
  </w:font>
  <w:font w:name="Aptos">
    <w:altName w:val="Aptos"/>
    <w:panose1 w:val="00000000000000000000"/>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DF90471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Calibri" w:hAnsi="Calibri"/>
        <w:lang w:val="en-US" w:bidi="ar-SA" w:eastAsia="en-US"/>
      </w:rPr>
    </w:rPrDefault>
    <w:pPrDefault>
      <w:pPr/>
    </w:pPrDefault>
  </w:docDefaults>
  <w:style w:type="paragraph" w:default="1" w:styleId="style0">
    <w:name w:val="Normal"/>
    <w:next w:val="style0"/>
    <w:qFormat/>
    <w:pPr>
      <w:spacing w:lineRule="auto" w:line="480"/>
      <w:ind w:firstLine="720"/>
    </w:pPr>
    <w:rPr>
      <w:sz w:val="22"/>
      <w:szCs w:val="22"/>
    </w:rPr>
  </w:style>
  <w:style w:type="paragraph" w:styleId="style1">
    <w:name w:val="heading 1"/>
    <w:basedOn w:val="style0"/>
    <w:next w:val="style0"/>
    <w:link w:val="style4097"/>
    <w:qFormat/>
    <w:uiPriority w:val="9"/>
    <w:pPr>
      <w:keepNext/>
      <w:keepLines/>
      <w:ind w:firstLine="0"/>
      <w:jc w:val="center"/>
      <w:outlineLvl w:val="0"/>
    </w:pPr>
    <w:rPr>
      <w:rFonts w:eastAsia="Times New Roman"/>
      <w:b/>
      <w:bCs/>
      <w:szCs w:val="28"/>
    </w:rPr>
  </w:style>
  <w:style w:type="paragraph" w:styleId="style2">
    <w:name w:val="heading 2"/>
    <w:basedOn w:val="style0"/>
    <w:next w:val="style0"/>
    <w:link w:val="style4098"/>
    <w:qFormat/>
    <w:uiPriority w:val="9"/>
    <w:pPr>
      <w:keepNext/>
      <w:keepLines/>
      <w:ind w:firstLine="0"/>
      <w:outlineLvl w:val="1"/>
    </w:pPr>
    <w:rPr>
      <w:rFonts w:eastAsia="Times New Roman"/>
      <w:b/>
      <w:bCs/>
      <w:szCs w:val="26"/>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Título 1 Car"/>
    <w:next w:val="style4097"/>
    <w:link w:val="style1"/>
    <w:uiPriority w:val="9"/>
    <w:rPr>
      <w:rFonts w:cs="Times New Roman" w:eastAsia="Times New Roman"/>
      <w:b/>
      <w:bCs/>
      <w:szCs w:val="28"/>
    </w:rPr>
  </w:style>
  <w:style w:type="character" w:customStyle="1" w:styleId="style4098">
    <w:name w:val="Título 2 Car"/>
    <w:next w:val="style4098"/>
    <w:link w:val="style2"/>
    <w:uiPriority w:val="9"/>
    <w:rPr>
      <w:rFonts w:cs="Times New Roman" w:eastAsia="Times New Roman"/>
      <w:b/>
      <w:bCs/>
      <w:szCs w:val="26"/>
    </w:rPr>
  </w:style>
  <w:style w:type="table" w:styleId="style154">
    <w:name w:val="Table Grid"/>
    <w:basedOn w:val="style105"/>
    <w:next w:val="style154"/>
    <w:uiPriority w:val="5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53">
    <w:name w:val="Balloon Text"/>
    <w:basedOn w:val="style0"/>
    <w:next w:val="style153"/>
    <w:link w:val="style4099"/>
    <w:uiPriority w:val="99"/>
    <w:pPr>
      <w:spacing w:lineRule="auto" w:line="240"/>
    </w:pPr>
    <w:rPr>
      <w:rFonts w:ascii="Tahoma" w:cs="Tahoma" w:hAnsi="Tahoma"/>
      <w:sz w:val="16"/>
      <w:szCs w:val="16"/>
    </w:rPr>
  </w:style>
  <w:style w:type="character" w:customStyle="1" w:styleId="style4099">
    <w:name w:val="Texto de globo Car"/>
    <w:next w:val="style4099"/>
    <w:link w:val="style153"/>
    <w:uiPriority w:val="99"/>
    <w:rPr>
      <w:rFonts w:ascii="Tahoma" w:cs="Tahoma" w:hAnsi="Tahoma"/>
      <w:sz w:val="16"/>
      <w:szCs w:val="16"/>
    </w:rPr>
  </w:style>
  <w:style w:type="character" w:styleId="style85">
    <w:name w:val="Hyperlink"/>
    <w:basedOn w:val="style65"/>
    <w:next w:val="style85"/>
    <w:uiPriority w:val="99"/>
    <w:rPr>
      <w:color w:val="467886"/>
      <w:u w:val="single"/>
    </w:rPr>
  </w:style>
  <w:style w:type="character" w:customStyle="1" w:styleId="style4100">
    <w:name w:val="Unresolved Mention"/>
    <w:basedOn w:val="style65"/>
    <w:next w:val="style4100"/>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2216</Words>
  <Pages>12</Pages>
  <Characters>13684</Characters>
  <Application>WPS Office</Application>
  <DocSecurity>0</DocSecurity>
  <Paragraphs>318</Paragraphs>
  <ScaleCrop>false</ScaleCrop>
  <LinksUpToDate>false</LinksUpToDate>
  <CharactersWithSpaces>15857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2025-06-04T19:07:00Z</dcterms:created>
  <dc:creator>Michael White</dc:creator>
  <lastModifiedBy>Z2352N</lastModifiedBy>
  <dcterms:modified xsi:type="dcterms:W3CDTF">2025-06-13T04:13:28Z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497178c8e38549218ef0fd450fada69c</vt:lpwstr>
  </property>
</Properties>
</file>