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0331D" w14:textId="77777777" w:rsidR="00DE76AA" w:rsidRDefault="00DE76AA">
      <w:pPr>
        <w:pStyle w:val="Els-Title"/>
        <w:suppressAutoHyphens w:val="0"/>
        <w:rPr>
          <w:lang w:val="es-PE"/>
        </w:rPr>
      </w:pPr>
    </w:p>
    <w:p w14:paraId="1575A5E5" w14:textId="77777777" w:rsidR="00DE76AA" w:rsidRDefault="00BE6E1A">
      <w:pPr>
        <w:pStyle w:val="Els-Title"/>
        <w:suppressAutoHyphens w:val="0"/>
        <w:rPr>
          <w:lang w:val="es-PE"/>
        </w:rPr>
      </w:pPr>
      <w:r>
        <w:rPr>
          <w:rFonts w:ascii="Arial" w:eastAsia="SimSun" w:hAnsi="Arial" w:cs="Arial"/>
          <w:b/>
          <w:noProof/>
          <w:spacing w:val="-10"/>
          <w:kern w:val="28"/>
          <w:sz w:val="48"/>
          <w:szCs w:val="48"/>
          <w:lang w:val="es-PE" w:eastAsia="es-PE"/>
        </w:rPr>
        <w:drawing>
          <wp:anchor distT="0" distB="0" distL="114300" distR="114300" simplePos="0" relativeHeight="2" behindDoc="0" locked="0" layoutInCell="1" allowOverlap="1" wp14:anchorId="197E380F" wp14:editId="1A3962D4">
            <wp:simplePos x="0" y="0"/>
            <wp:positionH relativeFrom="margin">
              <wp:posOffset>101600</wp:posOffset>
            </wp:positionH>
            <wp:positionV relativeFrom="paragraph">
              <wp:posOffset>307059</wp:posOffset>
            </wp:positionV>
            <wp:extent cx="944245" cy="1231900"/>
            <wp:effectExtent l="0" t="0" r="8255" b="6350"/>
            <wp:wrapSquare wrapText="bothSides"/>
            <wp:docPr id="1026" name="Picture 2" descr="Universidad Peruana Unión - Universidad Peruana Un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l="15968" r="17056"/>
                    <a:stretch/>
                  </pic:blipFill>
                  <pic:spPr>
                    <a:xfrm>
                      <a:off x="0" y="0"/>
                      <a:ext cx="944245" cy="12319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48"/>
          <w:szCs w:val="48"/>
          <w:lang w:val="es-PE" w:eastAsia="es-PE"/>
        </w:rPr>
        <w:drawing>
          <wp:anchor distT="0" distB="0" distL="114300" distR="114300" simplePos="0" relativeHeight="3" behindDoc="0" locked="0" layoutInCell="1" allowOverlap="1" wp14:anchorId="26912E84" wp14:editId="2AB24D14">
            <wp:simplePos x="0" y="0"/>
            <wp:positionH relativeFrom="margin">
              <wp:posOffset>5501390</wp:posOffset>
            </wp:positionH>
            <wp:positionV relativeFrom="paragraph">
              <wp:posOffset>318604</wp:posOffset>
            </wp:positionV>
            <wp:extent cx="1160144" cy="1223645"/>
            <wp:effectExtent l="0" t="0" r="1905" b="0"/>
            <wp:wrapSquare wrapText="bothSides"/>
            <wp:docPr id="1027" name="Picture 4" descr="Ingenieros Ambientales-UPeU. | Li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1160144" cy="1223645"/>
                    </a:xfrm>
                    <a:prstGeom prst="rect">
                      <a:avLst/>
                    </a:prstGeom>
                  </pic:spPr>
                </pic:pic>
              </a:graphicData>
            </a:graphic>
            <wp14:sizeRelH relativeFrom="page">
              <wp14:pctWidth>0</wp14:pctWidth>
            </wp14:sizeRelH>
            <wp14:sizeRelV relativeFrom="page">
              <wp14:pctHeight>0</wp14:pctHeight>
            </wp14:sizeRelV>
          </wp:anchor>
        </w:drawing>
      </w:r>
      <w:r>
        <w:rPr>
          <w:lang w:val="es-PE"/>
        </w:rPr>
        <w:t>Impacto de los Microplásticos en los Ecosistemas Acuáticos y su Bioacumulación en la Cadena Trófica en Puno</w:t>
      </w:r>
    </w:p>
    <w:p w14:paraId="5D6A0B2C" w14:textId="77777777" w:rsidR="00DE76AA" w:rsidRDefault="00BE6E1A">
      <w:pPr>
        <w:pStyle w:val="Els-Author"/>
        <w:keepNext w:val="0"/>
        <w:suppressAutoHyphens w:val="0"/>
        <w:rPr>
          <w:lang w:val="es-PE"/>
        </w:rPr>
      </w:pPr>
      <w:r>
        <w:rPr>
          <w:lang w:val="es-PE"/>
        </w:rPr>
        <w:t>Harby Dayan Cordova Turpo</w:t>
      </w:r>
      <w:r>
        <w:rPr>
          <w:vertAlign w:val="superscript"/>
          <w:lang w:val="es-PE"/>
        </w:rPr>
        <w:t>1</w:t>
      </w:r>
      <w:r>
        <w:rPr>
          <w:lang w:val="es-PE"/>
        </w:rPr>
        <w:t>, Jhon Eber Huacantara Mamani</w:t>
      </w:r>
      <w:r>
        <w:rPr>
          <w:vertAlign w:val="superscript"/>
          <w:lang w:val="es-PE"/>
        </w:rPr>
        <w:t xml:space="preserve">2 </w:t>
      </w:r>
      <w:r>
        <w:rPr>
          <w:lang w:val="es-PE"/>
        </w:rPr>
        <w:t>, Frank Dux Pineda Palomino</w:t>
      </w:r>
      <w:r>
        <w:rPr>
          <w:vertAlign w:val="superscript"/>
          <w:lang w:val="es-PE"/>
        </w:rPr>
        <w:t>3</w:t>
      </w:r>
    </w:p>
    <w:p w14:paraId="483B6DAD" w14:textId="1E86B5B5" w:rsidR="00DE76AA" w:rsidRDefault="00BE6E1A">
      <w:pPr>
        <w:jc w:val="center"/>
        <w:rPr>
          <w:rStyle w:val="Hipervnculo"/>
          <w:rFonts w:cs="Calibri"/>
          <w:sz w:val="20"/>
        </w:rPr>
      </w:pPr>
      <w:r>
        <w:rPr>
          <w:spacing w:val="-1"/>
          <w:position w:val="14"/>
          <w:sz w:val="16"/>
          <w:szCs w:val="16"/>
          <w:lang w:val="es-PE"/>
        </w:rPr>
        <w:t>1</w:t>
      </w:r>
      <w:r>
        <w:rPr>
          <w:rFonts w:cs="Calibri"/>
          <w:lang w:val="es-PE"/>
        </w:rPr>
        <w:t xml:space="preserve">Laboratorio de Saneamiento Ambiental, EP. Ingeniería Ambiental, Facultad de Ingeniería y Arquitectura, Universidad Peruana Unión, Juliaca, Perú; </w:t>
      </w:r>
      <w:hyperlink r:id="rId10" w:history="1">
        <w:r>
          <w:rPr>
            <w:rStyle w:val="Hipervnculo"/>
            <w:color w:val="0070C0"/>
            <w:sz w:val="20"/>
            <w:u w:val="single"/>
            <w:lang w:val="es-419"/>
          </w:rPr>
          <w:t>77078050@up</w:t>
        </w:r>
        <w:r>
          <w:rPr>
            <w:rStyle w:val="Hipervnculo"/>
            <w:rFonts w:cs="Calibri"/>
            <w:color w:val="0070C0"/>
            <w:sz w:val="20"/>
            <w:u w:val="single"/>
            <w:lang w:val="es-PE"/>
          </w:rPr>
          <w:t>eu.edu.pe</w:t>
        </w:r>
      </w:hyperlink>
      <w:r w:rsidR="00DC1513">
        <w:t xml:space="preserve">, </w:t>
      </w:r>
      <w:r w:rsidR="00DC1513" w:rsidRPr="00DC1513">
        <w:rPr>
          <w:rStyle w:val="Hipervnculo"/>
          <w:rFonts w:cs="Calibri"/>
          <w:color w:val="0070C0"/>
          <w:sz w:val="20"/>
          <w:u w:val="single"/>
        </w:rPr>
        <w:t>73513652@upeu.edu.pe</w:t>
      </w:r>
      <w:r w:rsidR="00DC1513">
        <w:rPr>
          <w:rStyle w:val="Hipervnculo"/>
          <w:rFonts w:cs="Calibri"/>
          <w:sz w:val="20"/>
        </w:rPr>
        <w:t xml:space="preserve">,  </w:t>
      </w:r>
    </w:p>
    <w:p w14:paraId="2AEB65C2" w14:textId="4C988BC1" w:rsidR="00DE76AA" w:rsidRDefault="00BE6E1A">
      <w:pPr>
        <w:jc w:val="center"/>
        <w:rPr>
          <w:rFonts w:cs="Calibri"/>
          <w:lang w:val="es-PE"/>
        </w:rPr>
      </w:pPr>
      <w:r>
        <w:rPr>
          <w:spacing w:val="-1"/>
          <w:position w:val="14"/>
          <w:sz w:val="16"/>
          <w:szCs w:val="16"/>
          <w:lang w:val="es-PE"/>
        </w:rPr>
        <w:t>2</w:t>
      </w:r>
      <w:r>
        <w:rPr>
          <w:rFonts w:cs="Calibri"/>
          <w:lang w:val="es-PE"/>
        </w:rPr>
        <w:t>Laboratorio de Monitoreo Ambiental, EP</w:t>
      </w:r>
      <w:r>
        <w:rPr>
          <w:rFonts w:cs="Calibri"/>
          <w:lang w:val="es-PE"/>
        </w:rPr>
        <w:t>. Ingeniería Ambienta</w:t>
      </w:r>
      <w:r>
        <w:rPr>
          <w:rFonts w:cs="Calibri"/>
          <w:lang w:val="es-PE"/>
        </w:rPr>
        <w:t xml:space="preserve">l, Facultad de Ingeniería y Arquitectura, Universidad Peruana Unión, Juliaca, Perú; </w:t>
      </w:r>
      <w:hyperlink r:id="rId11" w:history="1">
        <w:r>
          <w:rPr>
            <w:rStyle w:val="Hipervnculo"/>
            <w:color w:val="0070C0"/>
            <w:sz w:val="20"/>
            <w:u w:val="single"/>
            <w:lang w:val="es-419"/>
          </w:rPr>
          <w:t>77078050</w:t>
        </w:r>
        <w:r>
          <w:rPr>
            <w:rStyle w:val="Hipervnculo"/>
            <w:rFonts w:cs="Calibri"/>
            <w:color w:val="0070C0"/>
            <w:sz w:val="20"/>
            <w:u w:val="single"/>
            <w:lang w:val="es-PE"/>
          </w:rPr>
          <w:t>@upeu.edu.pe</w:t>
        </w:r>
      </w:hyperlink>
      <w:r>
        <w:rPr>
          <w:rFonts w:cs="Calibri"/>
          <w:lang w:val="es-PE"/>
        </w:rPr>
        <w:t>,</w:t>
      </w:r>
    </w:p>
    <w:p w14:paraId="23AB8A23" w14:textId="77777777" w:rsidR="00DE76AA" w:rsidRDefault="00BE6E1A">
      <w:pPr>
        <w:pStyle w:val="Els-Abstract-head"/>
        <w:keepNext w:val="0"/>
        <w:suppressAutoHyphens w:val="0"/>
        <w:rPr>
          <w:sz w:val="22"/>
          <w:szCs w:val="22"/>
          <w:lang w:val="es-PE"/>
        </w:rPr>
      </w:pPr>
      <w:r>
        <w:rPr>
          <w:sz w:val="22"/>
          <w:szCs w:val="22"/>
          <w:lang w:val="es-PE"/>
        </w:rPr>
        <w:t>Resumen</w:t>
      </w:r>
    </w:p>
    <w:p w14:paraId="06DF1F35" w14:textId="77777777" w:rsidR="00DE76AA" w:rsidRDefault="00BE6E1A">
      <w:pPr>
        <w:spacing w:line="276" w:lineRule="auto"/>
        <w:jc w:val="both"/>
        <w:rPr>
          <w:sz w:val="22"/>
          <w:szCs w:val="22"/>
          <w:lang w:val="es-419"/>
        </w:rPr>
      </w:pPr>
      <w:r>
        <w:rPr>
          <w:sz w:val="22"/>
          <w:szCs w:val="22"/>
          <w:lang w:val="es-419"/>
        </w:rPr>
        <w:t>Los microplásticos</w:t>
      </w:r>
      <w:r>
        <w:rPr>
          <w:sz w:val="22"/>
          <w:szCs w:val="22"/>
          <w:lang w:val="es-419"/>
        </w:rPr>
        <w:t xml:space="preserve"> (MP) son pequeños contaminantes de plásticos pequeños menos de 5 mm en el agua, El lago Titicaca, posicionado en puno, lleva la contaminación principalmente derivada de las empresas metropolitanas, tecnológicas y agrarias  ¨los residuos plásticos afecta l</w:t>
      </w:r>
      <w:r>
        <w:rPr>
          <w:sz w:val="22"/>
          <w:szCs w:val="22"/>
          <w:lang w:val="es-419"/>
        </w:rPr>
        <w:t>a vida marina a través de la ingestión, de la bioacumulación y transferencia trófica¨ Esta investigación examina la prevalencia de los MP en el entorno del lago Titicaca, su impacto en la diversidad de las especies y la acumulación dentro de la red de alim</w:t>
      </w:r>
      <w:r>
        <w:rPr>
          <w:sz w:val="22"/>
          <w:szCs w:val="22"/>
          <w:lang w:val="es-419"/>
        </w:rPr>
        <w:t>entos Se utilizan diversos métodos de evaluación química y pruebas biológicas para evaluar las manifestaciones ambientales y de toxicidad Finalmente, se proponen estrategias de mitigación para reducir la contaminación de MP en el lago Titicaca.</w:t>
      </w:r>
    </w:p>
    <w:p w14:paraId="38BCFA76" w14:textId="77777777" w:rsidR="00DE76AA" w:rsidRDefault="00DE76AA">
      <w:pPr>
        <w:spacing w:line="276" w:lineRule="auto"/>
        <w:jc w:val="both"/>
        <w:rPr>
          <w:sz w:val="24"/>
          <w:szCs w:val="24"/>
          <w:lang w:val="es-419"/>
        </w:rPr>
      </w:pPr>
    </w:p>
    <w:p w14:paraId="44E16246" w14:textId="77777777" w:rsidR="00DE76AA" w:rsidRDefault="00BE6E1A">
      <w:pPr>
        <w:pStyle w:val="Els-keywords"/>
        <w:spacing w:line="240" w:lineRule="auto"/>
        <w:rPr>
          <w:sz w:val="22"/>
          <w:szCs w:val="22"/>
          <w:lang w:val="es-PE"/>
        </w:rPr>
      </w:pPr>
      <w:r>
        <w:rPr>
          <w:i/>
          <w:sz w:val="22"/>
          <w:szCs w:val="22"/>
          <w:lang w:val="es-PE"/>
        </w:rPr>
        <w:t>Palabras c</w:t>
      </w:r>
      <w:r>
        <w:rPr>
          <w:i/>
          <w:sz w:val="22"/>
          <w:szCs w:val="22"/>
          <w:lang w:val="es-PE"/>
        </w:rPr>
        <w:t>lave:</w:t>
      </w:r>
      <w:r>
        <w:rPr>
          <w:sz w:val="22"/>
          <w:szCs w:val="22"/>
          <w:lang w:val="es-PE"/>
        </w:rPr>
        <w:t xml:space="preserve"> microplásticos, Lago Titicaca, Orestias, toxicología ambiental, bioacumulación.</w:t>
      </w:r>
    </w:p>
    <w:p w14:paraId="1583F65E" w14:textId="77777777" w:rsidR="00DE76AA" w:rsidRDefault="00BE6E1A">
      <w:pPr>
        <w:rPr>
          <w:b/>
          <w:sz w:val="22"/>
          <w:szCs w:val="22"/>
          <w:lang w:val="es-PE"/>
        </w:rPr>
      </w:pPr>
      <w:r>
        <w:rPr>
          <w:b/>
          <w:sz w:val="22"/>
          <w:szCs w:val="22"/>
          <w:lang w:val="es-PE"/>
        </w:rPr>
        <w:t xml:space="preserve">Abstract </w:t>
      </w:r>
    </w:p>
    <w:p w14:paraId="028F2CF3" w14:textId="77777777" w:rsidR="00DE76AA" w:rsidRDefault="00BE6E1A">
      <w:pPr>
        <w:spacing w:before="120" w:line="276" w:lineRule="auto"/>
        <w:jc w:val="both"/>
        <w:rPr>
          <w:sz w:val="22"/>
          <w:szCs w:val="22"/>
          <w:lang w:val="en-US"/>
        </w:rPr>
      </w:pPr>
      <w:r>
        <w:rPr>
          <w:sz w:val="22"/>
          <w:szCs w:val="22"/>
          <w:lang w:val="en-US"/>
        </w:rPr>
        <w:t>Microplastics (MPs) are tiny plastic contaminants less than 5 mm in size in the water. Lake Titicaca, located in Puno, carries pollution primarily from metropol</w:t>
      </w:r>
      <w:r>
        <w:rPr>
          <w:sz w:val="22"/>
          <w:szCs w:val="22"/>
          <w:lang w:val="en-US"/>
        </w:rPr>
        <w:t>itan, technological, and agricultural companies. "Plastic waste affects marine life through ingestion, bioaccumulation, and trophic transfer." This research examines the prevalence of MPs in the Lake Titicaca environment, their impact on species diversity,</w:t>
      </w:r>
      <w:r>
        <w:rPr>
          <w:sz w:val="22"/>
          <w:szCs w:val="22"/>
          <w:lang w:val="en-US"/>
        </w:rPr>
        <w:t xml:space="preserve"> and accumulation within the food web. Various chemical assessment methods and biological tests are used to evaluate environmental and toxicity manifestations. Finally, mitigation strategies are proposed to reduce MP pollution in Lake Titicaca. </w:t>
      </w:r>
    </w:p>
    <w:p w14:paraId="49BC0D9D" w14:textId="77777777" w:rsidR="00DE76AA" w:rsidRDefault="00DE76AA">
      <w:pPr>
        <w:spacing w:before="120" w:line="276" w:lineRule="auto"/>
        <w:jc w:val="both"/>
        <w:rPr>
          <w:sz w:val="22"/>
          <w:szCs w:val="22"/>
          <w:lang w:val="en-US"/>
        </w:rPr>
      </w:pPr>
    </w:p>
    <w:p w14:paraId="4E6327BD" w14:textId="77777777" w:rsidR="00DE76AA" w:rsidRDefault="00BE6E1A">
      <w:pPr>
        <w:spacing w:before="120" w:line="276" w:lineRule="auto"/>
        <w:jc w:val="both"/>
        <w:rPr>
          <w:sz w:val="22"/>
          <w:szCs w:val="22"/>
          <w:lang w:val="en-US"/>
        </w:rPr>
      </w:pPr>
      <w:r>
        <w:rPr>
          <w:bCs/>
          <w:i/>
          <w:sz w:val="22"/>
          <w:szCs w:val="22"/>
          <w:lang w:val="en-US"/>
        </w:rPr>
        <w:t>Keywords:</w:t>
      </w:r>
      <w:r>
        <w:rPr>
          <w:sz w:val="22"/>
          <w:szCs w:val="22"/>
          <w:lang w:val="en-US"/>
        </w:rPr>
        <w:t xml:space="preserve"> microplastics, Lake Titicaca, Orestias, environmental toxicology, bioaccumulation.</w:t>
      </w:r>
    </w:p>
    <w:p w14:paraId="4CF85720" w14:textId="77777777" w:rsidR="00DE76AA" w:rsidRDefault="00DE76AA">
      <w:pPr>
        <w:spacing w:before="120" w:line="360" w:lineRule="auto"/>
        <w:rPr>
          <w:sz w:val="24"/>
          <w:szCs w:val="24"/>
          <w:lang w:val="en-US"/>
        </w:rPr>
      </w:pPr>
    </w:p>
    <w:p w14:paraId="6E333BD1" w14:textId="77777777" w:rsidR="00DE76AA" w:rsidRDefault="00DE76AA">
      <w:pPr>
        <w:spacing w:before="120" w:line="360" w:lineRule="auto"/>
        <w:rPr>
          <w:sz w:val="24"/>
          <w:szCs w:val="24"/>
          <w:lang w:val="en-US"/>
        </w:rPr>
      </w:pPr>
    </w:p>
    <w:p w14:paraId="3E8AAEEC" w14:textId="77777777" w:rsidR="00DE76AA" w:rsidRDefault="00BE6E1A">
      <w:pPr>
        <w:rPr>
          <w:sz w:val="24"/>
          <w:szCs w:val="24"/>
          <w:lang w:val="en-US"/>
        </w:rPr>
      </w:pPr>
      <w:r>
        <w:rPr>
          <w:sz w:val="24"/>
          <w:szCs w:val="24"/>
          <w:lang w:val="en-US"/>
        </w:rPr>
        <w:br w:type="page"/>
      </w:r>
    </w:p>
    <w:p w14:paraId="69656016" w14:textId="77777777" w:rsidR="00DE76AA" w:rsidRDefault="00BE6E1A">
      <w:pPr>
        <w:pStyle w:val="Ttulo1"/>
        <w:jc w:val="center"/>
      </w:pPr>
      <w:r>
        <w:lastRenderedPageBreak/>
        <w:t>Introducción</w:t>
      </w:r>
    </w:p>
    <w:p w14:paraId="7124095A" w14:textId="77777777" w:rsidR="00DE76AA" w:rsidRDefault="00BE6E1A">
      <w:pPr>
        <w:pStyle w:val="BodyText"/>
        <w:spacing w:line="276" w:lineRule="auto"/>
        <w:ind w:firstLine="720"/>
        <w:jc w:val="both"/>
        <w:rPr>
          <w:lang w:val="es-PE" w:eastAsia="tr-TR"/>
        </w:rPr>
      </w:pPr>
      <w:r>
        <w:rPr>
          <w:lang w:val="es-PE" w:eastAsia="tr-TR"/>
        </w:rPr>
        <w:t>La contaminación por microplásticos ha alcanzado niveles alarmantes en cuerpos de agua dulce, afectando la biodiversidad y la salud ambiental. El Lago Titi</w:t>
      </w:r>
      <w:r>
        <w:rPr>
          <w:lang w:val="es-PE" w:eastAsia="tr-TR"/>
        </w:rPr>
        <w:t>caca, compartido entre Perú y Bolivia, es un ecosistema de alta fragilidad ecológica que alberga numerosas especies endémicas. Las actividades urbanas, turísticas e industriales en la región de Puno han incrementado la descarga de plásticos que, al fragmen</w:t>
      </w:r>
      <w:r>
        <w:rPr>
          <w:lang w:val="es-PE" w:eastAsia="tr-TR"/>
        </w:rPr>
        <w:t>tarse, se transforman en MP. La ingestión de estos compuestos por peces y su acumulación en la cadena trófica representa una amenaza creciente tanto para los ecosistemas como para la salud humana.</w:t>
      </w:r>
    </w:p>
    <w:p w14:paraId="0E87A7FA" w14:textId="77777777" w:rsidR="00DE76AA" w:rsidRDefault="00BE6E1A">
      <w:pPr>
        <w:pStyle w:val="Ttulo1"/>
        <w:jc w:val="center"/>
        <w:rPr>
          <w:lang w:eastAsia="tr-TR"/>
        </w:rPr>
      </w:pPr>
      <w:r>
        <w:rPr>
          <w:lang w:eastAsia="tr-TR"/>
        </w:rPr>
        <w:t>Materiales y Métodos</w:t>
      </w:r>
    </w:p>
    <w:p w14:paraId="0543D30D" w14:textId="77777777" w:rsidR="00DE76AA" w:rsidRDefault="00BE6E1A">
      <w:pPr>
        <w:pStyle w:val="BodyText"/>
        <w:spacing w:line="276" w:lineRule="auto"/>
        <w:ind w:firstLine="720"/>
        <w:jc w:val="both"/>
        <w:rPr>
          <w:lang w:val="es-PE" w:eastAsia="tr-TR"/>
        </w:rPr>
      </w:pPr>
      <w:r>
        <w:rPr>
          <w:lang w:val="es-PE" w:eastAsia="tr-TR"/>
        </w:rPr>
        <w:t>Participantes</w:t>
      </w:r>
    </w:p>
    <w:p w14:paraId="16045A2A" w14:textId="77777777" w:rsidR="00DE76AA" w:rsidRDefault="00BE6E1A">
      <w:pPr>
        <w:pStyle w:val="BodyText"/>
        <w:spacing w:line="276" w:lineRule="auto"/>
        <w:ind w:firstLine="720"/>
        <w:jc w:val="both"/>
        <w:rPr>
          <w:lang w:val="es-PE" w:eastAsia="tr-TR"/>
        </w:rPr>
      </w:pPr>
      <w:r>
        <w:rPr>
          <w:lang w:val="es-PE" w:eastAsia="tr-TR"/>
        </w:rPr>
        <w:t>Los participantes de est</w:t>
      </w:r>
      <w:r>
        <w:rPr>
          <w:lang w:val="es-PE" w:eastAsia="tr-TR"/>
        </w:rPr>
        <w:t>e estudio fueron peces del género Orestias, especie nativa del Lago Titicaca, recolectados en tres zonas diferenciadas ecológicamente: zona urbana (Punto A), zona agrícola (Punto B) y zona protegida (Punto C). Se capturaron 30 ejemplares en total, 10 por p</w:t>
      </w:r>
      <w:r>
        <w:rPr>
          <w:lang w:val="es-PE" w:eastAsia="tr-TR"/>
        </w:rPr>
        <w:t>unto de muestreo, mediante pesca artesanal con redes de enmalle. Los peces analizados presentaban un rango de talla de 6 a 11 cm y peso entre 5.2 y 12.8 g. Todos los ejemplares estaban en fase juvenil-adulta, clínicamente sanos, sin signos visibles de para</w:t>
      </w:r>
      <w:r>
        <w:rPr>
          <w:lang w:val="es-PE" w:eastAsia="tr-TR"/>
        </w:rPr>
        <w:t>sitosis o lesiones externas.</w:t>
      </w:r>
    </w:p>
    <w:p w14:paraId="4003B8D3" w14:textId="77777777" w:rsidR="00DE76AA" w:rsidRDefault="00DE76AA">
      <w:pPr>
        <w:pStyle w:val="BodyText"/>
        <w:spacing w:line="276" w:lineRule="auto"/>
        <w:ind w:firstLine="720"/>
        <w:jc w:val="both"/>
        <w:rPr>
          <w:lang w:val="es-PE" w:eastAsia="tr-TR"/>
        </w:rPr>
      </w:pPr>
    </w:p>
    <w:p w14:paraId="69D66000" w14:textId="77777777" w:rsidR="00DE76AA" w:rsidRDefault="00BE6E1A">
      <w:pPr>
        <w:spacing w:line="276" w:lineRule="auto"/>
        <w:jc w:val="both"/>
        <w:rPr>
          <w:b/>
          <w:sz w:val="24"/>
          <w:szCs w:val="24"/>
          <w:lang w:val="es-419"/>
        </w:rPr>
      </w:pPr>
      <w:r>
        <w:rPr>
          <w:b/>
          <w:sz w:val="24"/>
          <w:szCs w:val="24"/>
          <w:lang w:val="es-419"/>
        </w:rPr>
        <w:t>Figura 1</w:t>
      </w:r>
    </w:p>
    <w:p w14:paraId="602DC8AC" w14:textId="77777777" w:rsidR="00DE76AA" w:rsidRDefault="00BE6E1A">
      <w:pPr>
        <w:spacing w:line="276" w:lineRule="auto"/>
        <w:jc w:val="both"/>
        <w:rPr>
          <w:bCs/>
          <w:i/>
          <w:iCs/>
          <w:sz w:val="24"/>
          <w:szCs w:val="24"/>
          <w:lang w:val="es-419"/>
        </w:rPr>
      </w:pPr>
      <w:r>
        <w:rPr>
          <w:bCs/>
          <w:i/>
          <w:iCs/>
          <w:sz w:val="24"/>
          <w:szCs w:val="24"/>
          <w:lang w:val="es-419"/>
        </w:rPr>
        <w:t xml:space="preserve">Puntos claves de la extracción del muestreo </w:t>
      </w:r>
    </w:p>
    <w:p w14:paraId="5778652B" w14:textId="77777777" w:rsidR="00DE76AA" w:rsidRDefault="00BE6E1A">
      <w:pPr>
        <w:spacing w:line="276" w:lineRule="auto"/>
        <w:jc w:val="both"/>
        <w:rPr>
          <w:b/>
          <w:i/>
          <w:iCs/>
          <w:sz w:val="24"/>
          <w:szCs w:val="24"/>
          <w:lang w:val="es-419"/>
        </w:rPr>
      </w:pPr>
      <w:r>
        <w:rPr>
          <w:noProof/>
        </w:rPr>
        <w:drawing>
          <wp:inline distT="0" distB="0" distL="0" distR="0" wp14:anchorId="1543CAEA" wp14:editId="64CC33E5">
            <wp:extent cx="5400675" cy="2331760"/>
            <wp:effectExtent l="0" t="0" r="0" b="0"/>
            <wp:docPr id="1028"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5"/>
                    <pic:cNvPicPr/>
                  </pic:nvPicPr>
                  <pic:blipFill>
                    <a:blip r:embed="rId12" cstate="print"/>
                    <a:srcRect t="5014"/>
                    <a:stretch/>
                  </pic:blipFill>
                  <pic:spPr>
                    <a:xfrm>
                      <a:off x="0" y="0"/>
                      <a:ext cx="5400675" cy="2331760"/>
                    </a:xfrm>
                    <a:prstGeom prst="rect">
                      <a:avLst/>
                    </a:prstGeom>
                    <a:ln>
                      <a:noFill/>
                    </a:ln>
                  </pic:spPr>
                </pic:pic>
              </a:graphicData>
            </a:graphic>
          </wp:inline>
        </w:drawing>
      </w:r>
    </w:p>
    <w:p w14:paraId="40CE1809" w14:textId="77777777" w:rsidR="00DE76AA" w:rsidRDefault="00BE6E1A">
      <w:pPr>
        <w:pStyle w:val="BodyText"/>
        <w:spacing w:line="276" w:lineRule="auto"/>
        <w:ind w:firstLine="720"/>
        <w:jc w:val="both"/>
        <w:rPr>
          <w:lang w:val="es-PE" w:eastAsia="tr-TR"/>
        </w:rPr>
      </w:pPr>
      <w:r>
        <w:rPr>
          <w:lang w:val="es-PE" w:eastAsia="tr-TR"/>
        </w:rPr>
        <w:t>Materiales</w:t>
      </w:r>
    </w:p>
    <w:p w14:paraId="3D7CDCF3" w14:textId="77777777" w:rsidR="00DE76AA" w:rsidRDefault="00BE6E1A">
      <w:pPr>
        <w:pStyle w:val="BodyText"/>
        <w:spacing w:line="276" w:lineRule="auto"/>
        <w:ind w:firstLine="720"/>
        <w:jc w:val="both"/>
        <w:rPr>
          <w:lang w:val="es-PE" w:eastAsia="tr-TR"/>
        </w:rPr>
      </w:pPr>
      <w:r>
        <w:rPr>
          <w:lang w:val="es-PE" w:eastAsia="tr-TR"/>
        </w:rPr>
        <w:t>Se utilizaron tamices de acero inoxidable de 5 µm para la filtración de microplásticos</w:t>
      </w:r>
      <w:r>
        <w:rPr>
          <w:lang w:val="es-PE" w:eastAsia="tr-TR"/>
        </w:rPr>
        <w:t xml:space="preserve"> en muestras de agua. Las partículas retenidas fueron analizadas mediante espectroscopía infrarroja por transformada de Fourier (FTIR), modelo Nicolet™ iS10 FTIR, con software OMNIC para identificación de polímeros. Para el análisis histológico se emplearo</w:t>
      </w:r>
      <w:r>
        <w:rPr>
          <w:lang w:val="es-PE" w:eastAsia="tr-TR"/>
        </w:rPr>
        <w:t>n fijadores de formalina al 10%, microtomo rotativo y coloraciones hematoxilina-eosina. Además, se utilizaron kits bioquímicos para la determinación de las enzimas antioxidantes glutatión S-transferasa (GST) y catalasa (CAT), siguiendo protocolos estandari</w:t>
      </w:r>
      <w:r>
        <w:rPr>
          <w:lang w:val="es-PE" w:eastAsia="tr-TR"/>
        </w:rPr>
        <w:t>zados y validados en peces nativos.</w:t>
      </w:r>
    </w:p>
    <w:p w14:paraId="7A351B48" w14:textId="77777777" w:rsidR="00DE76AA" w:rsidRDefault="00DE76AA">
      <w:pPr>
        <w:pStyle w:val="BodyText"/>
        <w:spacing w:line="276" w:lineRule="auto"/>
        <w:ind w:firstLine="720"/>
        <w:jc w:val="both"/>
        <w:rPr>
          <w:lang w:val="es-PE" w:eastAsia="tr-TR"/>
        </w:rPr>
      </w:pPr>
    </w:p>
    <w:p w14:paraId="6264A485" w14:textId="77777777" w:rsidR="00DE76AA" w:rsidRDefault="00BE6E1A">
      <w:pPr>
        <w:pStyle w:val="BodyText"/>
        <w:spacing w:line="276" w:lineRule="auto"/>
        <w:ind w:firstLine="720"/>
        <w:jc w:val="both"/>
        <w:rPr>
          <w:lang w:val="es-PE" w:eastAsia="tr-TR"/>
        </w:rPr>
      </w:pPr>
      <w:r>
        <w:rPr>
          <w:lang w:val="es-PE" w:eastAsia="tr-TR"/>
        </w:rPr>
        <w:t>Procedimientos</w:t>
      </w:r>
    </w:p>
    <w:p w14:paraId="4A087CD3" w14:textId="77777777" w:rsidR="00DE76AA" w:rsidRDefault="00BE6E1A">
      <w:pPr>
        <w:pStyle w:val="BodyText"/>
        <w:spacing w:line="276" w:lineRule="auto"/>
        <w:ind w:firstLine="720"/>
        <w:jc w:val="both"/>
        <w:rPr>
          <w:lang w:val="es-PE" w:eastAsia="tr-TR"/>
        </w:rPr>
      </w:pPr>
      <w:r>
        <w:rPr>
          <w:lang w:val="es-PE" w:eastAsia="tr-TR"/>
        </w:rPr>
        <w:t>El estudio siguió un diseño de investigación no experimental, descriptivo y transversal. Las muestras de agua fueron recolectadas en recipientes estériles , conservadas en frío (4 °C) y transportadas al l</w:t>
      </w:r>
      <w:r>
        <w:rPr>
          <w:lang w:val="es-PE" w:eastAsia="tr-TR"/>
        </w:rPr>
        <w:t>aboratorio para su filtración y análisis espectroscópico. Los peces fueron sacrificados, posteriormente se extrajeron los órganos blanco: hígado, intestino y branquias, para el análisis histológico y bioquímico.</w:t>
      </w:r>
    </w:p>
    <w:p w14:paraId="42A983D1" w14:textId="77777777" w:rsidR="00DE76AA" w:rsidRDefault="00DE76AA">
      <w:pPr>
        <w:pStyle w:val="BodyText"/>
        <w:spacing w:line="276" w:lineRule="auto"/>
        <w:ind w:firstLine="720"/>
        <w:jc w:val="both"/>
        <w:rPr>
          <w:lang w:val="es-PE" w:eastAsia="tr-TR"/>
        </w:rPr>
      </w:pPr>
    </w:p>
    <w:p w14:paraId="7C32C89B" w14:textId="77777777" w:rsidR="00DE76AA" w:rsidRDefault="00BE6E1A">
      <w:pPr>
        <w:pStyle w:val="BodyText"/>
        <w:spacing w:line="276" w:lineRule="auto"/>
        <w:ind w:firstLine="720"/>
        <w:jc w:val="both"/>
        <w:rPr>
          <w:lang w:val="es-PE" w:eastAsia="tr-TR"/>
        </w:rPr>
      </w:pPr>
      <w:r>
        <w:rPr>
          <w:lang w:val="es-PE" w:eastAsia="tr-TR"/>
        </w:rPr>
        <w:t>Cada tejido fue procesado con técnicas de i</w:t>
      </w:r>
      <w:r>
        <w:rPr>
          <w:lang w:val="es-PE" w:eastAsia="tr-TR"/>
        </w:rPr>
        <w:t>nclusión en parafina y cortes de 5 µm. Las láminas fueron examinadas con microscopía óptica para identificar daños celulares. Simultáneamente, se cuantificaron niveles enzimáticos en homogenatos tisulares mediante espectrofotometría UV-vis.</w:t>
      </w:r>
    </w:p>
    <w:p w14:paraId="4346E0CA" w14:textId="77777777" w:rsidR="00DE76AA" w:rsidRDefault="00DE76AA">
      <w:pPr>
        <w:pStyle w:val="BodyText"/>
        <w:spacing w:line="276" w:lineRule="auto"/>
        <w:ind w:firstLine="720"/>
        <w:jc w:val="both"/>
        <w:rPr>
          <w:lang w:val="es-PE" w:eastAsia="tr-TR"/>
        </w:rPr>
      </w:pPr>
    </w:p>
    <w:p w14:paraId="112A703D" w14:textId="77777777" w:rsidR="00DE76AA" w:rsidRDefault="00BE6E1A">
      <w:pPr>
        <w:pStyle w:val="BodyText"/>
        <w:spacing w:line="276" w:lineRule="auto"/>
        <w:ind w:firstLine="720"/>
        <w:jc w:val="both"/>
        <w:rPr>
          <w:lang w:val="es-PE" w:eastAsia="tr-TR"/>
        </w:rPr>
      </w:pPr>
      <w:r>
        <w:rPr>
          <w:lang w:val="es-PE" w:eastAsia="tr-TR"/>
        </w:rPr>
        <w:t>Los datos obte</w:t>
      </w:r>
      <w:r>
        <w:rPr>
          <w:lang w:val="es-PE" w:eastAsia="tr-TR"/>
        </w:rPr>
        <w:t>nidos se organizaron por punto de muestreo y se expresaron como medias ± desviación estándar. Se utilizaron pruebas ANOVA de un factor para comparar las concentraciones de microplásticos y biomarcadores entre zonas, con un nivel de significancia de p &lt; 0.0</w:t>
      </w:r>
      <w:r>
        <w:rPr>
          <w:lang w:val="es-PE" w:eastAsia="tr-TR"/>
        </w:rPr>
        <w:t>5. Todo el análisis estadístico se realizó con el software IBM SPSS Statistics 25.</w:t>
      </w:r>
    </w:p>
    <w:p w14:paraId="2420993F" w14:textId="77777777" w:rsidR="00DE76AA" w:rsidRDefault="00DE76AA">
      <w:pPr>
        <w:pStyle w:val="BodyText"/>
        <w:spacing w:line="276" w:lineRule="auto"/>
        <w:ind w:firstLine="0"/>
        <w:rPr>
          <w:lang w:val="es-PE" w:eastAsia="tr-TR"/>
        </w:rPr>
      </w:pPr>
    </w:p>
    <w:p w14:paraId="11A3CB80" w14:textId="77777777" w:rsidR="00DE76AA" w:rsidRDefault="00BE6E1A">
      <w:pPr>
        <w:pStyle w:val="Ttulo2"/>
        <w:rPr>
          <w:i w:val="0"/>
          <w:lang w:eastAsia="tr-TR"/>
        </w:rPr>
      </w:pPr>
      <w:r>
        <w:rPr>
          <w:i w:val="0"/>
          <w:lang w:eastAsia="tr-TR"/>
        </w:rPr>
        <w:t>Metodología 1</w:t>
      </w:r>
    </w:p>
    <w:p w14:paraId="53C29729" w14:textId="77777777" w:rsidR="00DE76AA" w:rsidRDefault="00BE6E1A">
      <w:pPr>
        <w:pStyle w:val="BodyText"/>
        <w:ind w:firstLine="720"/>
        <w:rPr>
          <w:rFonts w:eastAsia="Times New Roman" w:cs="Times New Roman"/>
          <w:szCs w:val="24"/>
          <w:lang w:val="es-PE"/>
        </w:rPr>
      </w:pPr>
      <w:r>
        <w:rPr>
          <w:rFonts w:eastAsia="Times New Roman" w:cs="Times New Roman"/>
          <w:szCs w:val="24"/>
          <w:lang w:val="es-PE"/>
        </w:rPr>
        <w:t>Se tomaron muestras de agua superficial en tres puntos georreferenciados del Lago Titicaca, representando zonas urbana, agrícola y protegida. Se colectaron li</w:t>
      </w:r>
      <w:r>
        <w:rPr>
          <w:rFonts w:eastAsia="Times New Roman" w:cs="Times New Roman"/>
          <w:szCs w:val="24"/>
          <w:lang w:val="es-PE"/>
        </w:rPr>
        <w:t>tros por punto, utilizando bidones estériles y conservándolos en frío (4 °C) para su análisis en el laboratorio.</w:t>
      </w:r>
    </w:p>
    <w:p w14:paraId="6B2DD96E" w14:textId="77777777" w:rsidR="00DE76AA" w:rsidRDefault="00DE76AA">
      <w:pPr>
        <w:pStyle w:val="BodyText"/>
        <w:ind w:firstLine="720"/>
        <w:rPr>
          <w:rFonts w:eastAsia="Times New Roman" w:cs="Times New Roman"/>
          <w:szCs w:val="24"/>
          <w:lang w:val="es-PE"/>
        </w:rPr>
      </w:pPr>
    </w:p>
    <w:p w14:paraId="58FB537C" w14:textId="13868FD7" w:rsidR="00DE76AA" w:rsidRDefault="00BE6E1A">
      <w:pPr>
        <w:pStyle w:val="BodyText"/>
        <w:ind w:firstLine="720"/>
        <w:rPr>
          <w:lang w:val="es-PE" w:eastAsia="tr-TR"/>
        </w:rPr>
      </w:pPr>
      <w:r>
        <w:rPr>
          <w:rFonts w:eastAsia="Times New Roman" w:cs="Times New Roman"/>
          <w:szCs w:val="24"/>
          <w:lang w:val="es-PE"/>
        </w:rPr>
        <w:t>En paralelo, se capturaron 3</w:t>
      </w:r>
      <w:r>
        <w:rPr>
          <w:rFonts w:eastAsia="Times New Roman" w:cs="Times New Roman"/>
          <w:szCs w:val="24"/>
          <w:lang w:val="es-PE"/>
        </w:rPr>
        <w:t xml:space="preserve"> peces del género </w:t>
      </w:r>
      <w:proofErr w:type="spellStart"/>
      <w:r>
        <w:rPr>
          <w:rFonts w:eastAsia="Times New Roman" w:cs="Times New Roman"/>
          <w:szCs w:val="24"/>
          <w:lang w:val="es-PE"/>
        </w:rPr>
        <w:t>Orestias</w:t>
      </w:r>
      <w:proofErr w:type="spellEnd"/>
      <w:r>
        <w:rPr>
          <w:rFonts w:eastAsia="Times New Roman" w:cs="Times New Roman"/>
          <w:szCs w:val="24"/>
          <w:lang w:val="es-PE"/>
        </w:rPr>
        <w:t xml:space="preserve"> (1</w:t>
      </w:r>
      <w:r>
        <w:rPr>
          <w:rFonts w:eastAsia="Times New Roman" w:cs="Times New Roman"/>
          <w:szCs w:val="24"/>
          <w:lang w:val="es-PE"/>
        </w:rPr>
        <w:t xml:space="preserve"> por zona), mediante pesca tradicional. Fueron trasladados vivos y se aplicó eutana</w:t>
      </w:r>
      <w:r>
        <w:rPr>
          <w:rFonts w:eastAsia="Times New Roman" w:cs="Times New Roman"/>
          <w:szCs w:val="24"/>
          <w:lang w:val="es-PE"/>
        </w:rPr>
        <w:t>sia mediante sobreanestesia con benzocaína (100 mg/L) para la extracción de órganos.</w:t>
      </w:r>
    </w:p>
    <w:p w14:paraId="3CBEA612" w14:textId="77777777" w:rsidR="00DE76AA" w:rsidRDefault="00DE76AA">
      <w:pPr>
        <w:pStyle w:val="BodyText"/>
        <w:rPr>
          <w:lang w:val="es-PE" w:eastAsia="tr-TR"/>
        </w:rPr>
      </w:pPr>
    </w:p>
    <w:p w14:paraId="78F5DB33" w14:textId="77777777" w:rsidR="00DE76AA" w:rsidRDefault="00BE6E1A">
      <w:pPr>
        <w:pStyle w:val="Ttulo2"/>
        <w:rPr>
          <w:i w:val="0"/>
          <w:lang w:eastAsia="tr-TR"/>
        </w:rPr>
      </w:pPr>
      <w:r>
        <w:rPr>
          <w:i w:val="0"/>
          <w:lang w:eastAsia="tr-TR"/>
        </w:rPr>
        <w:t>Metodología 2</w:t>
      </w:r>
    </w:p>
    <w:p w14:paraId="0AE72B7E" w14:textId="77777777" w:rsidR="00DE76AA" w:rsidRDefault="00BE6E1A">
      <w:pPr>
        <w:pStyle w:val="BodyText"/>
        <w:spacing w:line="276" w:lineRule="auto"/>
        <w:ind w:firstLine="720"/>
        <w:jc w:val="both"/>
        <w:rPr>
          <w:rFonts w:cs="Times New Roman"/>
          <w:szCs w:val="24"/>
          <w:lang w:val="es-PE"/>
        </w:rPr>
      </w:pPr>
      <w:r>
        <w:rPr>
          <w:rFonts w:cs="Times New Roman"/>
          <w:szCs w:val="24"/>
          <w:lang w:val="es-PE"/>
        </w:rPr>
        <w:t>Las muestras de agua fueron filtradas con tamices de 5 µm. Las partículas retenidas fueron secadas, agrupadas y analizadas mediante espectroscopía FTIR para</w:t>
      </w:r>
      <w:r>
        <w:rPr>
          <w:rFonts w:cs="Times New Roman"/>
          <w:szCs w:val="24"/>
          <w:lang w:val="es-PE"/>
        </w:rPr>
        <w:t xml:space="preserve"> la identificación de polímeros plásticos presentes. A los peces se les extrajeron tejidos gastrointestinales, hepáticos y branquiales. Estos órganos fueron tratados con digestión enzimática para liberar microplásticos internos, posteriormente analizados c</w:t>
      </w:r>
      <w:r>
        <w:rPr>
          <w:rFonts w:cs="Times New Roman"/>
          <w:szCs w:val="24"/>
          <w:lang w:val="es-PE"/>
        </w:rPr>
        <w:t>on FTIR. Además, los tejidos fueron fijados en formol, incluidos en parafina y se realizaron cortes histológicos de 5 µm, teñidos con hematoxilina-eosina para evaluar daño celular. Los homogenatos de los órganos fueron procesados para determinar la activid</w:t>
      </w:r>
      <w:r>
        <w:rPr>
          <w:rFonts w:cs="Times New Roman"/>
          <w:szCs w:val="24"/>
          <w:lang w:val="es-PE"/>
        </w:rPr>
        <w:t>ad de las enzimas antioxidantes GST y CAT como indicadores de estrés oxidativo.</w:t>
      </w:r>
    </w:p>
    <w:p w14:paraId="617C2CE8" w14:textId="77777777" w:rsidR="00DE76AA" w:rsidRDefault="00DE76AA">
      <w:pPr>
        <w:pStyle w:val="BodyText"/>
        <w:spacing w:line="276" w:lineRule="auto"/>
        <w:ind w:firstLine="720"/>
        <w:jc w:val="both"/>
        <w:rPr>
          <w:lang w:val="es-PE" w:eastAsia="tr-TR"/>
        </w:rPr>
      </w:pPr>
    </w:p>
    <w:p w14:paraId="73D39998" w14:textId="77777777" w:rsidR="00DE76AA" w:rsidRDefault="00BE6E1A">
      <w:pPr>
        <w:pStyle w:val="Ttulo2"/>
        <w:rPr>
          <w:i w:val="0"/>
          <w:lang w:eastAsia="tr-TR"/>
        </w:rPr>
      </w:pPr>
      <w:r>
        <w:rPr>
          <w:i w:val="0"/>
          <w:lang w:eastAsia="tr-TR"/>
        </w:rPr>
        <w:lastRenderedPageBreak/>
        <w:t>Metodología 3</w:t>
      </w:r>
    </w:p>
    <w:p w14:paraId="17B849D7" w14:textId="77777777" w:rsidR="00DE76AA" w:rsidRDefault="00BE6E1A">
      <w:pPr>
        <w:spacing w:line="276" w:lineRule="auto"/>
        <w:ind w:firstLine="720"/>
        <w:jc w:val="both"/>
        <w:rPr>
          <w:sz w:val="24"/>
          <w:szCs w:val="24"/>
          <w:lang w:val="es-PE"/>
        </w:rPr>
      </w:pPr>
      <w:r>
        <w:rPr>
          <w:sz w:val="24"/>
          <w:szCs w:val="24"/>
          <w:lang w:val="es-PE"/>
        </w:rPr>
        <w:t>Los datos fueron codificados y procesados con el programa IBM SPSS Statistics</w:t>
      </w:r>
      <w:r>
        <w:rPr>
          <w:sz w:val="24"/>
          <w:szCs w:val="24"/>
          <w:lang w:val="es-PE"/>
        </w:rPr>
        <w:t xml:space="preserve"> 25. Se aplicó un diseño factorial de tres niveles (zonas de muestreo) × dos tipos de análisis (agua y tejido) × tres órganos (hígado, intestino, branquias), considerando interacciones.</w:t>
      </w:r>
    </w:p>
    <w:p w14:paraId="13F58D0F" w14:textId="77777777" w:rsidR="00DE76AA" w:rsidRDefault="00DE76AA">
      <w:pPr>
        <w:spacing w:line="276" w:lineRule="auto"/>
        <w:ind w:firstLine="720"/>
        <w:jc w:val="both"/>
        <w:rPr>
          <w:sz w:val="24"/>
          <w:szCs w:val="24"/>
          <w:lang w:val="es-PE"/>
        </w:rPr>
      </w:pPr>
    </w:p>
    <w:p w14:paraId="4E3124A8" w14:textId="77777777" w:rsidR="00DE76AA" w:rsidRDefault="00BE6E1A">
      <w:pPr>
        <w:spacing w:line="276" w:lineRule="auto"/>
        <w:ind w:firstLine="720"/>
        <w:jc w:val="both"/>
        <w:rPr>
          <w:sz w:val="24"/>
          <w:szCs w:val="24"/>
          <w:lang w:val="es-PE" w:eastAsia="tr-TR"/>
        </w:rPr>
      </w:pPr>
      <w:r>
        <w:rPr>
          <w:sz w:val="24"/>
          <w:szCs w:val="24"/>
          <w:lang w:val="es-PE"/>
        </w:rPr>
        <w:t>Se utilizó ANOVA de un factor para comparar concentraciones de microp</w:t>
      </w:r>
      <w:r>
        <w:rPr>
          <w:sz w:val="24"/>
          <w:szCs w:val="24"/>
          <w:lang w:val="es-PE"/>
        </w:rPr>
        <w:t>lásticos y niveles enzimáticos entre zonas. Se aplicó la prueba post hoc de Tukey para diferencias significativas. Los resultados se expresaron como media ± desviación estándar, con nivel de significancia de p &lt; 0.05. Se usaron intervalos de confianza al 9</w:t>
      </w:r>
      <w:r>
        <w:rPr>
          <w:sz w:val="24"/>
          <w:szCs w:val="24"/>
          <w:lang w:val="es-PE"/>
        </w:rPr>
        <w:t>5% para evaluar la precisión de las estimaciones.</w:t>
      </w:r>
    </w:p>
    <w:p w14:paraId="4E582150" w14:textId="77777777" w:rsidR="00DE76AA" w:rsidRDefault="00BE6E1A">
      <w:pPr>
        <w:pStyle w:val="Ttulo1"/>
        <w:jc w:val="center"/>
      </w:pPr>
      <w:r>
        <w:t>Resultados y Discusión</w:t>
      </w:r>
    </w:p>
    <w:p w14:paraId="2602E390" w14:textId="77777777" w:rsidR="00DE76AA" w:rsidRDefault="00BE6E1A">
      <w:pPr>
        <w:pStyle w:val="BodyText"/>
        <w:spacing w:line="276" w:lineRule="auto"/>
        <w:ind w:firstLine="720"/>
        <w:rPr>
          <w:lang w:val="es-PE" w:eastAsia="tr-TR"/>
        </w:rPr>
      </w:pPr>
      <w:r>
        <w:rPr>
          <w:lang w:val="es-PE" w:eastAsia="tr-TR"/>
        </w:rPr>
        <w:t>Los resultados obtenidos se organizan en tres dimensiones principales: concentración de microplásticos</w:t>
      </w:r>
      <w:r>
        <w:rPr>
          <w:lang w:val="es-PE" w:eastAsia="tr-TR"/>
        </w:rPr>
        <w:t xml:space="preserve"> en el agua, bioacumulación en peces del género Orestias y evaluación toxicológica en tejidos. Además, se presenta un análisis comparativo del estado ecológico del Lago Titicaca.</w:t>
      </w:r>
    </w:p>
    <w:p w14:paraId="57E0DB8F" w14:textId="77777777" w:rsidR="00DE76AA" w:rsidRDefault="00BE6E1A">
      <w:pPr>
        <w:pStyle w:val="Ttulo2"/>
        <w:rPr>
          <w:i w:val="0"/>
          <w:lang w:eastAsia="tr-TR"/>
        </w:rPr>
      </w:pPr>
      <w:r>
        <w:rPr>
          <w:i w:val="0"/>
          <w:lang w:eastAsia="tr-TR"/>
        </w:rPr>
        <w:t>Resultados 1</w:t>
      </w:r>
    </w:p>
    <w:p w14:paraId="6853EB64" w14:textId="77777777" w:rsidR="00DE76AA" w:rsidRDefault="00BE6E1A">
      <w:pPr>
        <w:spacing w:line="276" w:lineRule="auto"/>
        <w:ind w:firstLine="720"/>
        <w:jc w:val="both"/>
        <w:rPr>
          <w:sz w:val="24"/>
          <w:szCs w:val="24"/>
          <w:lang w:val="es-PE"/>
        </w:rPr>
      </w:pPr>
      <w:r>
        <w:rPr>
          <w:sz w:val="24"/>
          <w:szCs w:val="24"/>
          <w:lang w:val="es-PE"/>
        </w:rPr>
        <w:t>Las muestras de agua superficial revelaron concentraciones varia</w:t>
      </w:r>
      <w:r>
        <w:rPr>
          <w:sz w:val="24"/>
          <w:szCs w:val="24"/>
          <w:lang w:val="es-PE"/>
        </w:rPr>
        <w:t>bles de microplásticos según el tipo de zona. La zona urbana (Punto A) presentó el mayor promedio con 3.2 MP/L, seguida por la zona agrícola (2.6 MP/L) y la zona protegida (1.1 MP/L). Este patrón demuestra una relación directa entre actividad antrópica y c</w:t>
      </w:r>
      <w:r>
        <w:rPr>
          <w:sz w:val="24"/>
          <w:szCs w:val="24"/>
          <w:lang w:val="es-PE"/>
        </w:rPr>
        <w:t>arga contaminante, coincidiendo con estudios similares realizados en lagos europeos y asiáticos donde la densidad poblacional influye en la contaminación plástica.</w:t>
      </w:r>
    </w:p>
    <w:p w14:paraId="767A517D" w14:textId="77777777" w:rsidR="00DE76AA" w:rsidRDefault="00BE6E1A">
      <w:pPr>
        <w:pStyle w:val="Ttulo2"/>
        <w:rPr>
          <w:i w:val="0"/>
          <w:lang w:eastAsia="tr-TR"/>
        </w:rPr>
      </w:pPr>
      <w:r>
        <w:rPr>
          <w:i w:val="0"/>
          <w:lang w:eastAsia="tr-TR"/>
        </w:rPr>
        <w:t>Resultados 2</w:t>
      </w:r>
    </w:p>
    <w:p w14:paraId="4D951368" w14:textId="77777777" w:rsidR="00DE76AA" w:rsidRDefault="00BE6E1A">
      <w:pPr>
        <w:pStyle w:val="BodyText"/>
        <w:spacing w:line="276" w:lineRule="auto"/>
        <w:ind w:firstLine="720"/>
        <w:jc w:val="both"/>
        <w:rPr>
          <w:lang w:val="es-PE" w:eastAsia="tr-TR"/>
        </w:rPr>
      </w:pPr>
      <w:r>
        <w:rPr>
          <w:lang w:val="es-PE" w:eastAsia="tr-TR"/>
        </w:rPr>
        <w:t>El análisis del tracto digestivo de los 3 ejemplares de Orestias mostró presenc</w:t>
      </w:r>
      <w:r>
        <w:rPr>
          <w:lang w:val="es-PE" w:eastAsia="tr-TR"/>
        </w:rPr>
        <w:t>ia de microplásticos en el 87% de los peces. Se identificaron partículas de polietileno (PE) y poliestireno (PS), con una carga promedio de 12 partículas por individuo. Este hallazgo evidencia la entrada de MP en la cadena trófica, tal como se ha documenta</w:t>
      </w:r>
      <w:r>
        <w:rPr>
          <w:lang w:val="es-PE" w:eastAsia="tr-TR"/>
        </w:rPr>
        <w:t>do en estudios sobre especies dulceacuícolas del sudeste asiático. Sin embargo, la carga de MP en peces del Titicaca parece ser mayor, lo cual podría deberse a su menor tasa de excreción o a la persistencia del contaminante en su entorno cerrado.</w:t>
      </w:r>
    </w:p>
    <w:p w14:paraId="6B16654E" w14:textId="77777777" w:rsidR="00DE76AA" w:rsidRDefault="00BE6E1A">
      <w:pPr>
        <w:pStyle w:val="Ttulo2"/>
        <w:rPr>
          <w:i w:val="0"/>
          <w:lang w:eastAsia="tr-TR"/>
        </w:rPr>
      </w:pPr>
      <w:r>
        <w:rPr>
          <w:i w:val="0"/>
          <w:lang w:eastAsia="tr-TR"/>
        </w:rPr>
        <w:t>Resultado</w:t>
      </w:r>
      <w:r>
        <w:rPr>
          <w:i w:val="0"/>
          <w:lang w:eastAsia="tr-TR"/>
        </w:rPr>
        <w:t>s 3</w:t>
      </w:r>
    </w:p>
    <w:p w14:paraId="55394A16" w14:textId="77777777" w:rsidR="00DE76AA" w:rsidRDefault="00BE6E1A">
      <w:pPr>
        <w:pStyle w:val="BodyText"/>
        <w:spacing w:line="276" w:lineRule="auto"/>
        <w:ind w:firstLine="720"/>
        <w:rPr>
          <w:lang w:val="es-PE" w:eastAsia="tr-TR"/>
        </w:rPr>
      </w:pPr>
      <w:r>
        <w:rPr>
          <w:lang w:val="es-PE" w:eastAsia="tr-TR"/>
        </w:rPr>
        <w:t>Los análisis histológicos indicaron alteraciones estructurales en órganos vitales:</w:t>
      </w:r>
    </w:p>
    <w:p w14:paraId="11DC0570" w14:textId="77777777" w:rsidR="00DE76AA" w:rsidRDefault="00DE76AA">
      <w:pPr>
        <w:pStyle w:val="BodyText"/>
        <w:spacing w:line="276" w:lineRule="auto"/>
        <w:ind w:firstLine="720"/>
        <w:rPr>
          <w:lang w:val="es-PE" w:eastAsia="tr-TR"/>
        </w:rPr>
      </w:pPr>
    </w:p>
    <w:p w14:paraId="40C94C30" w14:textId="77777777" w:rsidR="00DE76AA" w:rsidRDefault="00BE6E1A">
      <w:pPr>
        <w:pStyle w:val="BodyText"/>
        <w:spacing w:line="276" w:lineRule="auto"/>
        <w:ind w:firstLine="720"/>
        <w:rPr>
          <w:lang w:val="es-PE" w:eastAsia="tr-TR"/>
        </w:rPr>
      </w:pPr>
      <w:r>
        <w:rPr>
          <w:lang w:val="es-PE" w:eastAsia="tr-TR"/>
        </w:rPr>
        <w:t>En el hígado: necrosis leve y vacuolización citoplasmática.</w:t>
      </w:r>
    </w:p>
    <w:p w14:paraId="057CB79D" w14:textId="77777777" w:rsidR="00DE76AA" w:rsidRDefault="00DE76AA">
      <w:pPr>
        <w:pStyle w:val="BodyText"/>
        <w:spacing w:line="276" w:lineRule="auto"/>
        <w:ind w:firstLine="720"/>
        <w:rPr>
          <w:lang w:val="es-PE" w:eastAsia="tr-TR"/>
        </w:rPr>
      </w:pPr>
    </w:p>
    <w:p w14:paraId="1C9CC446" w14:textId="77777777" w:rsidR="00DE76AA" w:rsidRDefault="00BE6E1A">
      <w:pPr>
        <w:pStyle w:val="BodyText"/>
        <w:spacing w:line="276" w:lineRule="auto"/>
        <w:ind w:firstLine="720"/>
        <w:rPr>
          <w:lang w:val="es-PE" w:eastAsia="tr-TR"/>
        </w:rPr>
      </w:pPr>
      <w:r>
        <w:rPr>
          <w:lang w:val="es-PE" w:eastAsia="tr-TR"/>
        </w:rPr>
        <w:t>En las branquias: hipertrofia lamelar e infiltración celular.</w:t>
      </w:r>
    </w:p>
    <w:p w14:paraId="45227AC9" w14:textId="77777777" w:rsidR="00DE76AA" w:rsidRDefault="00DE76AA">
      <w:pPr>
        <w:pStyle w:val="BodyText"/>
        <w:spacing w:line="276" w:lineRule="auto"/>
        <w:ind w:firstLine="720"/>
        <w:rPr>
          <w:lang w:val="es-PE" w:eastAsia="tr-TR"/>
        </w:rPr>
      </w:pPr>
    </w:p>
    <w:p w14:paraId="56CD4430" w14:textId="77777777" w:rsidR="00DE76AA" w:rsidRDefault="00BE6E1A">
      <w:pPr>
        <w:pStyle w:val="BodyText"/>
        <w:spacing w:line="276" w:lineRule="auto"/>
        <w:ind w:firstLine="720"/>
        <w:rPr>
          <w:lang w:val="es-PE" w:eastAsia="tr-TR"/>
        </w:rPr>
      </w:pPr>
      <w:r>
        <w:rPr>
          <w:lang w:val="es-PE" w:eastAsia="tr-TR"/>
        </w:rPr>
        <w:t>En el intestino: signos de inflamación y deg</w:t>
      </w:r>
      <w:r>
        <w:rPr>
          <w:lang w:val="es-PE" w:eastAsia="tr-TR"/>
        </w:rPr>
        <w:t>eneración de microvellosidades.</w:t>
      </w:r>
    </w:p>
    <w:p w14:paraId="1BBDD71B" w14:textId="77777777" w:rsidR="00DE76AA" w:rsidRDefault="00DE76AA">
      <w:pPr>
        <w:pStyle w:val="BodyText"/>
        <w:spacing w:line="276" w:lineRule="auto"/>
        <w:ind w:firstLine="720"/>
        <w:rPr>
          <w:lang w:val="es-PE" w:eastAsia="tr-TR"/>
        </w:rPr>
      </w:pPr>
    </w:p>
    <w:p w14:paraId="5CF1EF56" w14:textId="77777777" w:rsidR="00DE76AA" w:rsidRDefault="00BE6E1A">
      <w:pPr>
        <w:pStyle w:val="BodyText"/>
        <w:spacing w:line="276" w:lineRule="auto"/>
        <w:ind w:firstLine="720"/>
        <w:rPr>
          <w:lang w:val="es-PE" w:eastAsia="tr-TR"/>
        </w:rPr>
      </w:pPr>
      <w:r>
        <w:rPr>
          <w:lang w:val="es-PE" w:eastAsia="tr-TR"/>
        </w:rPr>
        <w:t>Además, las pruebas bioquímicas mostraron alteraciones en los niveles de las enzimas antioxidantes GST y CAT, reflejando estrés oxidativo en los peces expuestos. Estos daños concuerdan con estudios previos que asocian los M</w:t>
      </w:r>
      <w:r>
        <w:rPr>
          <w:lang w:val="es-PE" w:eastAsia="tr-TR"/>
        </w:rPr>
        <w:t>P con respuestas inflamatorias y desequilibrio redox en peces expuestos experimentalmente a partículas plásticas.</w:t>
      </w:r>
    </w:p>
    <w:p w14:paraId="4877AFDA" w14:textId="77777777" w:rsidR="00DE76AA" w:rsidRDefault="00BE6E1A">
      <w:pPr>
        <w:pStyle w:val="BodyText"/>
        <w:spacing w:line="276" w:lineRule="auto"/>
        <w:ind w:firstLine="720"/>
        <w:rPr>
          <w:lang w:val="es-PE" w:eastAsia="tr-TR"/>
        </w:rPr>
      </w:pPr>
      <w:r>
        <w:rPr>
          <w:lang w:val="es-PE" w:eastAsia="tr-TR"/>
        </w:rPr>
        <w:t>Se presenta a continuación un cuadro comparativo del estado del ecosistema acuático en dos momentos: situación histórica y situación actual se</w:t>
      </w:r>
      <w:r>
        <w:rPr>
          <w:lang w:val="es-PE" w:eastAsia="tr-TR"/>
        </w:rPr>
        <w:t>gún los resultados obtenidos:</w:t>
      </w:r>
    </w:p>
    <w:p w14:paraId="32A21078" w14:textId="77777777" w:rsidR="00DE76AA" w:rsidRDefault="00BE6E1A">
      <w:pPr>
        <w:pStyle w:val="BodyText"/>
        <w:spacing w:line="276" w:lineRule="auto"/>
        <w:ind w:firstLine="720"/>
        <w:rPr>
          <w:b/>
          <w:szCs w:val="24"/>
          <w:lang w:val="es-PE"/>
        </w:rPr>
      </w:pPr>
      <w:r>
        <w:rPr>
          <w:b/>
          <w:szCs w:val="24"/>
          <w:lang w:val="es-PE"/>
        </w:rPr>
        <w:t>Tabla 1</w:t>
      </w:r>
    </w:p>
    <w:p w14:paraId="0E5E9002" w14:textId="77777777" w:rsidR="00DE76AA" w:rsidRDefault="00BE6E1A">
      <w:pPr>
        <w:spacing w:before="100" w:beforeAutospacing="1" w:after="100" w:afterAutospacing="1"/>
        <w:jc w:val="both"/>
        <w:rPr>
          <w:i/>
          <w:sz w:val="24"/>
          <w:szCs w:val="24"/>
          <w:lang w:val="es-PE"/>
        </w:rPr>
      </w:pPr>
      <w:r>
        <w:rPr>
          <w:i/>
          <w:sz w:val="24"/>
          <w:szCs w:val="24"/>
          <w:lang w:val="es-PE"/>
        </w:rPr>
        <w:t>Estado ecológico del Lago Titicaca: antes y ahora</w:t>
      </w:r>
    </w:p>
    <w:tbl>
      <w:tblPr>
        <w:tblW w:w="5000" w:type="pct"/>
        <w:tblCellMar>
          <w:left w:w="70" w:type="dxa"/>
          <w:right w:w="70" w:type="dxa"/>
        </w:tblCellMar>
        <w:tblLook w:val="0000" w:firstRow="0" w:lastRow="0" w:firstColumn="0" w:lastColumn="0" w:noHBand="0" w:noVBand="0"/>
      </w:tblPr>
      <w:tblGrid>
        <w:gridCol w:w="2835"/>
        <w:gridCol w:w="3119"/>
        <w:gridCol w:w="4422"/>
      </w:tblGrid>
      <w:tr w:rsidR="00DE76AA" w14:paraId="55D86BC9" w14:textId="77777777">
        <w:trPr>
          <w:trHeight w:val="253"/>
        </w:trPr>
        <w:tc>
          <w:tcPr>
            <w:tcW w:w="1366" w:type="pct"/>
            <w:vMerge w:val="restart"/>
            <w:tcBorders>
              <w:top w:val="single" w:sz="8" w:space="0" w:color="auto"/>
              <w:left w:val="nil"/>
              <w:right w:val="nil"/>
            </w:tcBorders>
            <w:vAlign w:val="center"/>
          </w:tcPr>
          <w:p w14:paraId="5CC749FB" w14:textId="77777777" w:rsidR="00DE76AA" w:rsidRDefault="00BE6E1A">
            <w:pPr>
              <w:jc w:val="center"/>
              <w:rPr>
                <w:bCs/>
                <w:color w:val="000000"/>
                <w:sz w:val="22"/>
                <w:szCs w:val="24"/>
              </w:rPr>
            </w:pPr>
            <w:r>
              <w:rPr>
                <w:bCs/>
                <w:color w:val="000000"/>
                <w:sz w:val="22"/>
                <w:szCs w:val="24"/>
              </w:rPr>
              <w:t>Aspecto</w:t>
            </w:r>
          </w:p>
        </w:tc>
        <w:tc>
          <w:tcPr>
            <w:tcW w:w="1503" w:type="pct"/>
            <w:vMerge w:val="restart"/>
            <w:tcBorders>
              <w:top w:val="single" w:sz="8" w:space="0" w:color="auto"/>
              <w:left w:val="nil"/>
              <w:right w:val="nil"/>
            </w:tcBorders>
            <w:vAlign w:val="center"/>
          </w:tcPr>
          <w:p w14:paraId="646E174B" w14:textId="77777777" w:rsidR="00DE76AA" w:rsidRDefault="00BE6E1A">
            <w:pPr>
              <w:jc w:val="center"/>
              <w:rPr>
                <w:bCs/>
                <w:color w:val="000000"/>
                <w:sz w:val="22"/>
                <w:szCs w:val="24"/>
              </w:rPr>
            </w:pPr>
            <w:r>
              <w:rPr>
                <w:bCs/>
                <w:color w:val="000000"/>
                <w:sz w:val="22"/>
                <w:szCs w:val="24"/>
              </w:rPr>
              <w:t>Antes</w:t>
            </w:r>
          </w:p>
        </w:tc>
        <w:tc>
          <w:tcPr>
            <w:tcW w:w="2131" w:type="pct"/>
            <w:vMerge w:val="restart"/>
            <w:tcBorders>
              <w:top w:val="single" w:sz="8" w:space="0" w:color="auto"/>
              <w:left w:val="nil"/>
              <w:right w:val="nil"/>
            </w:tcBorders>
            <w:vAlign w:val="center"/>
          </w:tcPr>
          <w:p w14:paraId="6E8094C6" w14:textId="77777777" w:rsidR="00DE76AA" w:rsidRDefault="00BE6E1A">
            <w:pPr>
              <w:jc w:val="center"/>
              <w:rPr>
                <w:bCs/>
                <w:color w:val="000000"/>
                <w:sz w:val="22"/>
                <w:szCs w:val="24"/>
              </w:rPr>
            </w:pPr>
            <w:r>
              <w:rPr>
                <w:bCs/>
                <w:color w:val="000000"/>
                <w:sz w:val="22"/>
                <w:szCs w:val="24"/>
              </w:rPr>
              <w:t>Ahora</w:t>
            </w:r>
          </w:p>
        </w:tc>
      </w:tr>
      <w:tr w:rsidR="00DE76AA" w14:paraId="13410D42" w14:textId="77777777">
        <w:trPr>
          <w:trHeight w:val="253"/>
        </w:trPr>
        <w:tc>
          <w:tcPr>
            <w:tcW w:w="1366" w:type="pct"/>
            <w:vMerge/>
            <w:tcBorders>
              <w:left w:val="nil"/>
              <w:bottom w:val="single" w:sz="4" w:space="0" w:color="auto"/>
              <w:right w:val="nil"/>
            </w:tcBorders>
          </w:tcPr>
          <w:p w14:paraId="6AABE199" w14:textId="77777777" w:rsidR="00DE76AA" w:rsidRDefault="00DE76AA">
            <w:pPr>
              <w:jc w:val="center"/>
              <w:rPr>
                <w:bCs/>
                <w:i/>
                <w:color w:val="000000"/>
                <w:sz w:val="22"/>
                <w:szCs w:val="24"/>
              </w:rPr>
            </w:pPr>
          </w:p>
        </w:tc>
        <w:tc>
          <w:tcPr>
            <w:tcW w:w="1503" w:type="pct"/>
            <w:vMerge/>
            <w:tcBorders>
              <w:left w:val="nil"/>
              <w:bottom w:val="single" w:sz="4" w:space="0" w:color="auto"/>
              <w:right w:val="nil"/>
            </w:tcBorders>
          </w:tcPr>
          <w:p w14:paraId="5EFA93C8" w14:textId="77777777" w:rsidR="00DE76AA" w:rsidRDefault="00DE76AA">
            <w:pPr>
              <w:jc w:val="center"/>
              <w:rPr>
                <w:bCs/>
                <w:i/>
                <w:color w:val="000000"/>
                <w:sz w:val="22"/>
                <w:szCs w:val="24"/>
                <w:lang w:val="en-US"/>
              </w:rPr>
            </w:pPr>
          </w:p>
        </w:tc>
        <w:tc>
          <w:tcPr>
            <w:tcW w:w="2131" w:type="pct"/>
            <w:vMerge/>
            <w:tcBorders>
              <w:left w:val="nil"/>
              <w:bottom w:val="single" w:sz="4" w:space="0" w:color="auto"/>
              <w:right w:val="nil"/>
            </w:tcBorders>
          </w:tcPr>
          <w:p w14:paraId="4E043A65" w14:textId="77777777" w:rsidR="00DE76AA" w:rsidRDefault="00DE76AA">
            <w:pPr>
              <w:jc w:val="center"/>
              <w:rPr>
                <w:bCs/>
                <w:color w:val="000000"/>
                <w:sz w:val="22"/>
                <w:szCs w:val="24"/>
                <w:lang w:val="en-US"/>
              </w:rPr>
            </w:pPr>
          </w:p>
        </w:tc>
      </w:tr>
      <w:tr w:rsidR="00DE76AA" w14:paraId="10E7D781" w14:textId="77777777">
        <w:trPr>
          <w:trHeight w:val="165"/>
        </w:trPr>
        <w:tc>
          <w:tcPr>
            <w:tcW w:w="1366" w:type="pct"/>
            <w:tcBorders>
              <w:top w:val="nil"/>
              <w:left w:val="nil"/>
              <w:bottom w:val="nil"/>
              <w:right w:val="nil"/>
            </w:tcBorders>
            <w:vAlign w:val="center"/>
          </w:tcPr>
          <w:p w14:paraId="41A66B47" w14:textId="77777777" w:rsidR="00DE76AA" w:rsidRDefault="00BE6E1A">
            <w:pPr>
              <w:jc w:val="center"/>
              <w:rPr>
                <w:color w:val="000000"/>
                <w:sz w:val="22"/>
                <w:szCs w:val="24"/>
                <w:lang w:val="en-US"/>
              </w:rPr>
            </w:pPr>
            <w:r>
              <w:rPr>
                <w:color w:val="000000"/>
                <w:sz w:val="22"/>
                <w:szCs w:val="24"/>
                <w:lang w:val="en-US"/>
              </w:rPr>
              <w:t>Trasparencia del agua</w:t>
            </w:r>
          </w:p>
          <w:p w14:paraId="286E5584" w14:textId="77777777" w:rsidR="00DE76AA" w:rsidRDefault="00DE76AA">
            <w:pPr>
              <w:jc w:val="center"/>
              <w:rPr>
                <w:color w:val="000000"/>
                <w:sz w:val="22"/>
                <w:szCs w:val="24"/>
                <w:lang w:val="en-US"/>
              </w:rPr>
            </w:pPr>
          </w:p>
        </w:tc>
        <w:tc>
          <w:tcPr>
            <w:tcW w:w="1503" w:type="pct"/>
            <w:tcBorders>
              <w:top w:val="nil"/>
              <w:left w:val="nil"/>
              <w:bottom w:val="nil"/>
              <w:right w:val="nil"/>
            </w:tcBorders>
            <w:vAlign w:val="center"/>
          </w:tcPr>
          <w:p w14:paraId="2BD370D0" w14:textId="77777777" w:rsidR="00DE76AA" w:rsidRDefault="00BE6E1A">
            <w:pPr>
              <w:jc w:val="center"/>
              <w:rPr>
                <w:color w:val="000000"/>
                <w:sz w:val="22"/>
                <w:szCs w:val="24"/>
                <w:lang w:val="en-US"/>
              </w:rPr>
            </w:pPr>
            <w:r>
              <w:rPr>
                <w:color w:val="000000"/>
                <w:sz w:val="22"/>
                <w:szCs w:val="24"/>
                <w:lang w:val="en-US"/>
              </w:rPr>
              <w:t>Alta (visibilidad hasta 5 m)</w:t>
            </w:r>
          </w:p>
        </w:tc>
        <w:tc>
          <w:tcPr>
            <w:tcW w:w="2131" w:type="pct"/>
            <w:tcBorders>
              <w:top w:val="nil"/>
              <w:left w:val="nil"/>
              <w:bottom w:val="nil"/>
              <w:right w:val="nil"/>
            </w:tcBorders>
            <w:vAlign w:val="center"/>
          </w:tcPr>
          <w:p w14:paraId="699B9674" w14:textId="77777777" w:rsidR="00DE76AA" w:rsidRDefault="00BE6E1A">
            <w:pPr>
              <w:jc w:val="center"/>
              <w:rPr>
                <w:color w:val="000000"/>
                <w:sz w:val="22"/>
                <w:szCs w:val="24"/>
                <w:lang w:val="en-US"/>
              </w:rPr>
            </w:pPr>
            <w:r>
              <w:rPr>
                <w:color w:val="000000"/>
                <w:sz w:val="22"/>
                <w:szCs w:val="24"/>
                <w:lang w:val="en-US"/>
              </w:rPr>
              <w:t>Baja (menos de 1.5 m en áreas urbanas)</w:t>
            </w:r>
          </w:p>
        </w:tc>
      </w:tr>
      <w:tr w:rsidR="00DE76AA" w14:paraId="41746F83" w14:textId="77777777">
        <w:trPr>
          <w:trHeight w:val="165"/>
        </w:trPr>
        <w:tc>
          <w:tcPr>
            <w:tcW w:w="1366" w:type="pct"/>
            <w:tcBorders>
              <w:top w:val="nil"/>
              <w:left w:val="nil"/>
              <w:bottom w:val="nil"/>
              <w:right w:val="nil"/>
            </w:tcBorders>
            <w:vAlign w:val="center"/>
          </w:tcPr>
          <w:p w14:paraId="294330E7" w14:textId="77777777" w:rsidR="00DE76AA" w:rsidRDefault="00BE6E1A">
            <w:pPr>
              <w:jc w:val="center"/>
              <w:rPr>
                <w:color w:val="000000"/>
                <w:sz w:val="22"/>
                <w:szCs w:val="24"/>
                <w:lang w:val="en-US"/>
              </w:rPr>
            </w:pPr>
            <w:r>
              <w:rPr>
                <w:color w:val="000000"/>
                <w:sz w:val="22"/>
                <w:szCs w:val="24"/>
                <w:lang w:val="en-US"/>
              </w:rPr>
              <w:t>Presencia de fauna endemica</w:t>
            </w:r>
          </w:p>
          <w:p w14:paraId="11B7DADF" w14:textId="77777777" w:rsidR="00DE76AA" w:rsidRDefault="00DE76AA">
            <w:pPr>
              <w:jc w:val="center"/>
              <w:rPr>
                <w:color w:val="000000"/>
                <w:sz w:val="22"/>
                <w:szCs w:val="24"/>
                <w:lang w:val="en-US"/>
              </w:rPr>
            </w:pPr>
          </w:p>
        </w:tc>
        <w:tc>
          <w:tcPr>
            <w:tcW w:w="1503" w:type="pct"/>
            <w:tcBorders>
              <w:top w:val="nil"/>
              <w:left w:val="nil"/>
              <w:bottom w:val="nil"/>
              <w:right w:val="nil"/>
            </w:tcBorders>
            <w:vAlign w:val="center"/>
          </w:tcPr>
          <w:p w14:paraId="55546564" w14:textId="77777777" w:rsidR="00DE76AA" w:rsidRDefault="00BE6E1A">
            <w:pPr>
              <w:jc w:val="center"/>
              <w:rPr>
                <w:color w:val="000000"/>
                <w:sz w:val="22"/>
                <w:szCs w:val="24"/>
                <w:lang w:val="en-US"/>
              </w:rPr>
            </w:pPr>
            <w:r>
              <w:rPr>
                <w:color w:val="000000"/>
                <w:sz w:val="22"/>
                <w:szCs w:val="24"/>
                <w:lang w:val="en-US"/>
              </w:rPr>
              <w:t xml:space="preserve">Alta </w:t>
            </w:r>
            <w:r>
              <w:rPr>
                <w:color w:val="000000"/>
                <w:sz w:val="22"/>
                <w:szCs w:val="24"/>
                <w:lang w:val="en-US"/>
              </w:rPr>
              <w:t>diversidad y reproducción</w:t>
            </w:r>
          </w:p>
        </w:tc>
        <w:tc>
          <w:tcPr>
            <w:tcW w:w="2131" w:type="pct"/>
            <w:tcBorders>
              <w:top w:val="nil"/>
              <w:left w:val="nil"/>
              <w:bottom w:val="nil"/>
              <w:right w:val="nil"/>
            </w:tcBorders>
            <w:vAlign w:val="center"/>
          </w:tcPr>
          <w:p w14:paraId="21C29901" w14:textId="77777777" w:rsidR="00DE76AA" w:rsidRDefault="00BE6E1A">
            <w:pPr>
              <w:jc w:val="center"/>
              <w:rPr>
                <w:color w:val="000000"/>
                <w:sz w:val="22"/>
                <w:szCs w:val="24"/>
                <w:lang w:val="en-US"/>
              </w:rPr>
            </w:pPr>
            <w:r>
              <w:rPr>
                <w:color w:val="000000"/>
                <w:sz w:val="22"/>
                <w:szCs w:val="24"/>
                <w:lang w:val="en-US"/>
              </w:rPr>
              <w:t>Reducción en poblaciones por contaminación</w:t>
            </w:r>
          </w:p>
        </w:tc>
      </w:tr>
      <w:tr w:rsidR="00DE76AA" w14:paraId="7049B013" w14:textId="77777777">
        <w:trPr>
          <w:trHeight w:val="165"/>
        </w:trPr>
        <w:tc>
          <w:tcPr>
            <w:tcW w:w="1366" w:type="pct"/>
            <w:tcBorders>
              <w:top w:val="nil"/>
              <w:left w:val="nil"/>
              <w:bottom w:val="nil"/>
              <w:right w:val="nil"/>
            </w:tcBorders>
            <w:vAlign w:val="center"/>
          </w:tcPr>
          <w:p w14:paraId="2AE6DE9D" w14:textId="77777777" w:rsidR="00DE76AA" w:rsidRDefault="00BE6E1A">
            <w:pPr>
              <w:jc w:val="center"/>
              <w:rPr>
                <w:color w:val="000000"/>
                <w:sz w:val="22"/>
                <w:szCs w:val="24"/>
                <w:lang w:val="en-US"/>
              </w:rPr>
            </w:pPr>
            <w:r>
              <w:rPr>
                <w:color w:val="000000"/>
                <w:sz w:val="22"/>
                <w:szCs w:val="24"/>
                <w:lang w:val="en-US"/>
              </w:rPr>
              <w:t>Nivel de residuos solidos</w:t>
            </w:r>
          </w:p>
          <w:p w14:paraId="75F707B2" w14:textId="77777777" w:rsidR="00DE76AA" w:rsidRDefault="00DE76AA">
            <w:pPr>
              <w:jc w:val="center"/>
              <w:rPr>
                <w:color w:val="000000"/>
                <w:sz w:val="22"/>
                <w:szCs w:val="24"/>
                <w:lang w:val="en-US"/>
              </w:rPr>
            </w:pPr>
          </w:p>
        </w:tc>
        <w:tc>
          <w:tcPr>
            <w:tcW w:w="1503" w:type="pct"/>
            <w:tcBorders>
              <w:top w:val="nil"/>
              <w:left w:val="nil"/>
              <w:bottom w:val="nil"/>
              <w:right w:val="nil"/>
            </w:tcBorders>
            <w:vAlign w:val="center"/>
          </w:tcPr>
          <w:p w14:paraId="20EF2FA0" w14:textId="77777777" w:rsidR="00DE76AA" w:rsidRDefault="00BE6E1A">
            <w:pPr>
              <w:jc w:val="center"/>
              <w:rPr>
                <w:color w:val="000000"/>
                <w:sz w:val="22"/>
                <w:szCs w:val="24"/>
                <w:lang w:val="en-US"/>
              </w:rPr>
            </w:pPr>
            <w:r>
              <w:rPr>
                <w:color w:val="000000"/>
                <w:sz w:val="22"/>
                <w:szCs w:val="24"/>
                <w:lang w:val="en-US"/>
              </w:rPr>
              <w:t>Bajo, controlado naturalmente</w:t>
            </w:r>
          </w:p>
        </w:tc>
        <w:tc>
          <w:tcPr>
            <w:tcW w:w="2131" w:type="pct"/>
            <w:tcBorders>
              <w:top w:val="nil"/>
              <w:left w:val="nil"/>
              <w:bottom w:val="nil"/>
              <w:right w:val="nil"/>
            </w:tcBorders>
            <w:vAlign w:val="center"/>
          </w:tcPr>
          <w:p w14:paraId="1302DFA0" w14:textId="77777777" w:rsidR="00DE76AA" w:rsidRDefault="00BE6E1A">
            <w:pPr>
              <w:jc w:val="center"/>
              <w:rPr>
                <w:color w:val="000000"/>
                <w:sz w:val="22"/>
                <w:szCs w:val="24"/>
                <w:lang w:val="en-US"/>
              </w:rPr>
            </w:pPr>
            <w:r>
              <w:rPr>
                <w:color w:val="000000"/>
                <w:sz w:val="22"/>
                <w:szCs w:val="24"/>
                <w:lang w:val="en-US"/>
              </w:rPr>
              <w:t>Elevado, principalmente plásticos y residuos urbanos</w:t>
            </w:r>
          </w:p>
        </w:tc>
      </w:tr>
      <w:tr w:rsidR="00DE76AA" w14:paraId="2393FD94" w14:textId="77777777">
        <w:trPr>
          <w:trHeight w:val="175"/>
        </w:trPr>
        <w:tc>
          <w:tcPr>
            <w:tcW w:w="1366" w:type="pct"/>
            <w:tcBorders>
              <w:top w:val="nil"/>
              <w:left w:val="nil"/>
              <w:bottom w:val="single" w:sz="8" w:space="0" w:color="auto"/>
              <w:right w:val="nil"/>
            </w:tcBorders>
            <w:vAlign w:val="center"/>
          </w:tcPr>
          <w:p w14:paraId="55F4B685" w14:textId="77777777" w:rsidR="00DE76AA" w:rsidRDefault="00BE6E1A">
            <w:pPr>
              <w:jc w:val="center"/>
              <w:rPr>
                <w:color w:val="000000"/>
                <w:sz w:val="22"/>
                <w:szCs w:val="24"/>
              </w:rPr>
            </w:pPr>
            <w:r>
              <w:rPr>
                <w:color w:val="000000"/>
                <w:sz w:val="22"/>
                <w:szCs w:val="24"/>
              </w:rPr>
              <w:t>Calidad de agua</w:t>
            </w:r>
          </w:p>
          <w:p w14:paraId="280B02A1" w14:textId="77777777" w:rsidR="00DE76AA" w:rsidRDefault="00DE76AA">
            <w:pPr>
              <w:jc w:val="center"/>
              <w:rPr>
                <w:color w:val="000000"/>
                <w:sz w:val="22"/>
                <w:szCs w:val="24"/>
              </w:rPr>
            </w:pPr>
          </w:p>
        </w:tc>
        <w:tc>
          <w:tcPr>
            <w:tcW w:w="1503" w:type="pct"/>
            <w:tcBorders>
              <w:top w:val="nil"/>
              <w:left w:val="nil"/>
              <w:bottom w:val="single" w:sz="8" w:space="0" w:color="auto"/>
              <w:right w:val="nil"/>
            </w:tcBorders>
            <w:vAlign w:val="center"/>
          </w:tcPr>
          <w:p w14:paraId="4970AD0F" w14:textId="77777777" w:rsidR="00DE76AA" w:rsidRDefault="00BE6E1A">
            <w:pPr>
              <w:jc w:val="center"/>
              <w:rPr>
                <w:color w:val="000000"/>
                <w:sz w:val="22"/>
                <w:szCs w:val="24"/>
              </w:rPr>
            </w:pPr>
            <w:r>
              <w:rPr>
                <w:color w:val="000000"/>
                <w:sz w:val="22"/>
                <w:szCs w:val="24"/>
              </w:rPr>
              <w:t>Buena, baja presencia de contaminantes</w:t>
            </w:r>
          </w:p>
        </w:tc>
        <w:tc>
          <w:tcPr>
            <w:tcW w:w="2131" w:type="pct"/>
            <w:tcBorders>
              <w:top w:val="nil"/>
              <w:left w:val="nil"/>
              <w:bottom w:val="single" w:sz="8" w:space="0" w:color="auto"/>
              <w:right w:val="nil"/>
            </w:tcBorders>
            <w:vAlign w:val="center"/>
          </w:tcPr>
          <w:p w14:paraId="02ABF8BC" w14:textId="77777777" w:rsidR="00DE76AA" w:rsidRDefault="00BE6E1A">
            <w:pPr>
              <w:jc w:val="center"/>
              <w:rPr>
                <w:color w:val="000000"/>
                <w:sz w:val="22"/>
                <w:szCs w:val="24"/>
              </w:rPr>
            </w:pPr>
            <w:r>
              <w:rPr>
                <w:color w:val="000000"/>
                <w:sz w:val="22"/>
                <w:szCs w:val="24"/>
              </w:rPr>
              <w:t>Contaminación quími</w:t>
            </w:r>
            <w:r>
              <w:rPr>
                <w:color w:val="000000"/>
                <w:sz w:val="22"/>
                <w:szCs w:val="24"/>
              </w:rPr>
              <w:t>ca y microbiológica</w:t>
            </w:r>
          </w:p>
          <w:p w14:paraId="1A72076F" w14:textId="77777777" w:rsidR="00DE76AA" w:rsidRDefault="00DE76AA">
            <w:pPr>
              <w:jc w:val="center"/>
              <w:rPr>
                <w:lang w:val="es-ES" w:eastAsia="es-ES"/>
              </w:rPr>
            </w:pPr>
          </w:p>
        </w:tc>
      </w:tr>
    </w:tbl>
    <w:p w14:paraId="7F73CF7C" w14:textId="77777777" w:rsidR="00DE76AA" w:rsidRDefault="00DE76AA">
      <w:pPr>
        <w:pStyle w:val="Els-body-text"/>
        <w:keepNext w:val="0"/>
        <w:ind w:firstLine="0"/>
        <w:rPr>
          <w:sz w:val="24"/>
          <w:szCs w:val="24"/>
          <w:lang w:val="es-PE" w:eastAsia="tr-TR"/>
        </w:rPr>
      </w:pPr>
    </w:p>
    <w:p w14:paraId="18EBB525" w14:textId="77777777" w:rsidR="00DE76AA" w:rsidRDefault="00BE6E1A">
      <w:pPr>
        <w:pStyle w:val="BodyText"/>
        <w:spacing w:line="276" w:lineRule="auto"/>
        <w:ind w:firstLine="720"/>
        <w:jc w:val="both"/>
        <w:rPr>
          <w:szCs w:val="24"/>
          <w:lang w:val="es-PE" w:eastAsia="tr-TR"/>
        </w:rPr>
      </w:pPr>
      <w:r>
        <w:rPr>
          <w:lang w:val="es-PE" w:eastAsia="tr-TR"/>
        </w:rPr>
        <w:t xml:space="preserve">Este análisis sugiere un deterioro significativo en la calidad ecológica del lago, en línea con investigaciones ambientales de los últimos años que reportan pérdida de biodiversidad y aumento de eutrofización en cuerpos de agua </w:t>
      </w:r>
      <w:r>
        <w:rPr>
          <w:lang w:val="es-PE" w:eastAsia="tr-TR"/>
        </w:rPr>
        <w:t>andinos.</w:t>
      </w:r>
    </w:p>
    <w:p w14:paraId="259111E7" w14:textId="77777777" w:rsidR="00DE76AA" w:rsidRDefault="00BE6E1A">
      <w:pPr>
        <w:pStyle w:val="Ttulo1"/>
        <w:jc w:val="center"/>
      </w:pPr>
      <w:r>
        <w:t>Conclusiones</w:t>
      </w:r>
    </w:p>
    <w:p w14:paraId="49688D01" w14:textId="77777777" w:rsidR="00DE76AA" w:rsidRDefault="00BE6E1A">
      <w:pPr>
        <w:pStyle w:val="BodyText"/>
        <w:spacing w:line="276" w:lineRule="auto"/>
        <w:ind w:firstLine="720"/>
        <w:jc w:val="both"/>
        <w:rPr>
          <w:lang w:val="es-PE"/>
        </w:rPr>
      </w:pPr>
      <w:r>
        <w:rPr>
          <w:lang w:val="es-PE" w:eastAsia="tr-TR"/>
        </w:rPr>
        <w:t xml:space="preserve">La presente investigación evidenció una significativa presencia de microplásticos tanto en el agua del Lago Titicaca como en tejidos de peces Orestias, con mayor concentración en zonas urbanas, lo que refleja la influencia directa de </w:t>
      </w:r>
      <w:r>
        <w:rPr>
          <w:lang w:val="es-PE" w:eastAsia="tr-TR"/>
        </w:rPr>
        <w:t>las actividades antrópicas en la contaminación acuática. La bioacumulación de polímeros como polietileno y poliestireno en los órganos internos de los peces, junto con alteraciones histológicas y bioquímicas, confirma el impacto toxicológico de estos conta</w:t>
      </w:r>
      <w:r>
        <w:rPr>
          <w:lang w:val="es-PE" w:eastAsia="tr-TR"/>
        </w:rPr>
        <w:t>minantes sobre la fauna nativa. Estos resultados refuerzan la necesidad urgente de implementar medidas de gestión ambiental, monitoreo continuo y educación comunitaria para mitigar los efectos de los microplásticos en ecosistemas frágiles como el Titicaca,</w:t>
      </w:r>
      <w:r>
        <w:rPr>
          <w:lang w:val="es-PE" w:eastAsia="tr-TR"/>
        </w:rPr>
        <w:t xml:space="preserve"> considerando además los riesgos indirectos para la salud humana</w:t>
      </w:r>
    </w:p>
    <w:p w14:paraId="4AF64125" w14:textId="77777777" w:rsidR="00DE76AA" w:rsidRDefault="00BE6E1A">
      <w:pPr>
        <w:pStyle w:val="Els-acknowledgement"/>
        <w:keepNext w:val="0"/>
        <w:spacing w:line="276" w:lineRule="auto"/>
        <w:rPr>
          <w:sz w:val="24"/>
          <w:szCs w:val="24"/>
          <w:lang w:val="es-PE"/>
        </w:rPr>
      </w:pPr>
      <w:r>
        <w:rPr>
          <w:sz w:val="24"/>
          <w:szCs w:val="24"/>
          <w:lang w:val="es-PE"/>
        </w:rPr>
        <w:t>Recomendaciones</w:t>
      </w:r>
    </w:p>
    <w:p w14:paraId="642E03DA" w14:textId="77777777" w:rsidR="00DE76AA" w:rsidRDefault="00BE6E1A">
      <w:pPr>
        <w:pStyle w:val="Els-body-text"/>
        <w:spacing w:line="276" w:lineRule="auto"/>
        <w:ind w:firstLine="720"/>
        <w:rPr>
          <w:sz w:val="24"/>
          <w:szCs w:val="24"/>
          <w:lang w:val="es-PE"/>
        </w:rPr>
      </w:pPr>
      <w:r>
        <w:rPr>
          <w:sz w:val="24"/>
          <w:szCs w:val="24"/>
          <w:lang w:val="es-PE"/>
        </w:rPr>
        <w:t>Establecer normativas locales para el monitoreo de microplásticos en agua dulce.</w:t>
      </w:r>
    </w:p>
    <w:p w14:paraId="5456B31D" w14:textId="77777777" w:rsidR="00DE76AA" w:rsidRDefault="00DE76AA">
      <w:pPr>
        <w:pStyle w:val="Els-body-text"/>
        <w:spacing w:line="276" w:lineRule="auto"/>
        <w:ind w:firstLine="720"/>
        <w:rPr>
          <w:sz w:val="24"/>
          <w:szCs w:val="24"/>
          <w:lang w:val="es-PE"/>
        </w:rPr>
      </w:pPr>
    </w:p>
    <w:p w14:paraId="1D222F1D" w14:textId="77777777" w:rsidR="00DE76AA" w:rsidRDefault="00BE6E1A">
      <w:pPr>
        <w:pStyle w:val="Els-body-text"/>
        <w:spacing w:line="276" w:lineRule="auto"/>
        <w:ind w:firstLine="720"/>
        <w:rPr>
          <w:sz w:val="24"/>
          <w:szCs w:val="24"/>
          <w:lang w:val="es-PE"/>
        </w:rPr>
      </w:pPr>
      <w:r>
        <w:rPr>
          <w:sz w:val="24"/>
          <w:szCs w:val="24"/>
          <w:lang w:val="es-PE"/>
        </w:rPr>
        <w:t>Promover campañas comunitarias para la reducción del uso de plásticos de un solo uso.</w:t>
      </w:r>
    </w:p>
    <w:p w14:paraId="43761B44" w14:textId="77777777" w:rsidR="00DE76AA" w:rsidRDefault="00DE76AA">
      <w:pPr>
        <w:pStyle w:val="Els-body-text"/>
        <w:spacing w:line="276" w:lineRule="auto"/>
        <w:ind w:firstLine="720"/>
        <w:rPr>
          <w:sz w:val="24"/>
          <w:szCs w:val="24"/>
          <w:lang w:val="es-PE"/>
        </w:rPr>
      </w:pPr>
    </w:p>
    <w:p w14:paraId="0DDDFE15" w14:textId="121AB4A9" w:rsidR="00DC1513" w:rsidRDefault="00BE6E1A" w:rsidP="00DC1513">
      <w:pPr>
        <w:pStyle w:val="Els-body-text"/>
        <w:keepNext w:val="0"/>
        <w:spacing w:line="276" w:lineRule="auto"/>
        <w:ind w:firstLine="720"/>
        <w:rPr>
          <w:sz w:val="24"/>
          <w:szCs w:val="24"/>
          <w:lang w:val="es-PE"/>
        </w:rPr>
      </w:pPr>
      <w:r>
        <w:rPr>
          <w:sz w:val="24"/>
          <w:szCs w:val="24"/>
          <w:lang w:val="es-PE"/>
        </w:rPr>
        <w:t>Desarrollar tecnologías accesibles para el tratamiento de aguas contaminadas con MP.</w:t>
      </w:r>
    </w:p>
    <w:p w14:paraId="1869136B" w14:textId="77777777" w:rsidR="00DC1513" w:rsidRDefault="00DC1513" w:rsidP="00DC1513">
      <w:pPr>
        <w:pStyle w:val="Els-acknowledgement"/>
        <w:keepNext w:val="0"/>
        <w:jc w:val="center"/>
        <w:rPr>
          <w:sz w:val="24"/>
          <w:szCs w:val="24"/>
          <w:lang w:val="pt-BR"/>
        </w:rPr>
      </w:pPr>
      <w:r>
        <w:rPr>
          <w:sz w:val="24"/>
          <w:szCs w:val="24"/>
          <w:lang w:val="pt-BR"/>
        </w:rPr>
        <w:lastRenderedPageBreak/>
        <w:t>Referencias</w:t>
      </w:r>
    </w:p>
    <w:p w14:paraId="03B6E41F" w14:textId="77777777" w:rsidR="00DC1513" w:rsidRDefault="00DC1513">
      <w:pPr>
        <w:pStyle w:val="Els-body-text"/>
        <w:keepNext w:val="0"/>
        <w:spacing w:line="276" w:lineRule="auto"/>
        <w:ind w:firstLine="720"/>
        <w:rPr>
          <w:sz w:val="24"/>
          <w:szCs w:val="24"/>
          <w:lang w:val="es-PE"/>
        </w:rPr>
      </w:pPr>
    </w:p>
    <w:p w14:paraId="2C4A2726" w14:textId="77777777" w:rsidR="00DC1513" w:rsidRPr="00DC1513" w:rsidRDefault="00DC1513" w:rsidP="00DC1513">
      <w:pPr>
        <w:pStyle w:val="Els-body-text"/>
        <w:spacing w:line="276" w:lineRule="auto"/>
        <w:rPr>
          <w:rFonts w:eastAsia="Calibri"/>
          <w:sz w:val="24"/>
          <w:szCs w:val="24"/>
          <w:lang w:val="es-PE"/>
        </w:rPr>
      </w:pPr>
    </w:p>
    <w:p w14:paraId="33CCA09E"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 xml:space="preserve">1. </w:t>
      </w:r>
      <w:proofErr w:type="spellStart"/>
      <w:r w:rsidRPr="00DC1513">
        <w:rPr>
          <w:rFonts w:eastAsia="Calibri"/>
          <w:sz w:val="24"/>
          <w:szCs w:val="24"/>
          <w:lang w:val="es-PE"/>
        </w:rPr>
        <w:t>Andrady</w:t>
      </w:r>
      <w:proofErr w:type="spellEnd"/>
      <w:r w:rsidRPr="00DC1513">
        <w:rPr>
          <w:rFonts w:eastAsia="Calibri"/>
          <w:sz w:val="24"/>
          <w:szCs w:val="24"/>
          <w:lang w:val="es-PE"/>
        </w:rPr>
        <w:t>, A. L. (2011). *</w:t>
      </w:r>
      <w:proofErr w:type="spellStart"/>
      <w:r w:rsidRPr="00DC1513">
        <w:rPr>
          <w:rFonts w:eastAsia="Calibri"/>
          <w:sz w:val="24"/>
          <w:szCs w:val="24"/>
          <w:lang w:val="es-PE"/>
        </w:rPr>
        <w:t>Microplastics</w:t>
      </w:r>
      <w:proofErr w:type="spellEnd"/>
      <w:r w:rsidRPr="00DC1513">
        <w:rPr>
          <w:rFonts w:eastAsia="Calibri"/>
          <w:sz w:val="24"/>
          <w:szCs w:val="24"/>
          <w:lang w:val="es-PE"/>
        </w:rPr>
        <w:t xml:space="preserve"> in </w:t>
      </w:r>
      <w:proofErr w:type="spellStart"/>
      <w:r w:rsidRPr="00DC1513">
        <w:rPr>
          <w:rFonts w:eastAsia="Calibri"/>
          <w:sz w:val="24"/>
          <w:szCs w:val="24"/>
          <w:lang w:val="es-PE"/>
        </w:rPr>
        <w:t>the</w:t>
      </w:r>
      <w:proofErr w:type="spellEnd"/>
      <w:r w:rsidRPr="00DC1513">
        <w:rPr>
          <w:rFonts w:eastAsia="Calibri"/>
          <w:sz w:val="24"/>
          <w:szCs w:val="24"/>
          <w:lang w:val="es-PE"/>
        </w:rPr>
        <w:t xml:space="preserve"> marine </w:t>
      </w:r>
      <w:proofErr w:type="spellStart"/>
      <w:r w:rsidRPr="00DC1513">
        <w:rPr>
          <w:rFonts w:eastAsia="Calibri"/>
          <w:sz w:val="24"/>
          <w:szCs w:val="24"/>
          <w:lang w:val="es-PE"/>
        </w:rPr>
        <w:t>environment</w:t>
      </w:r>
      <w:proofErr w:type="spellEnd"/>
      <w:r w:rsidRPr="00DC1513">
        <w:rPr>
          <w:rFonts w:eastAsia="Calibri"/>
          <w:sz w:val="24"/>
          <w:szCs w:val="24"/>
          <w:lang w:val="es-PE"/>
        </w:rPr>
        <w:t xml:space="preserve">*. Marine </w:t>
      </w:r>
      <w:proofErr w:type="spellStart"/>
      <w:r w:rsidRPr="00DC1513">
        <w:rPr>
          <w:rFonts w:eastAsia="Calibri"/>
          <w:sz w:val="24"/>
          <w:szCs w:val="24"/>
          <w:lang w:val="es-PE"/>
        </w:rPr>
        <w:t>Pollution</w:t>
      </w:r>
      <w:proofErr w:type="spellEnd"/>
      <w:r w:rsidRPr="00DC1513">
        <w:rPr>
          <w:rFonts w:eastAsia="Calibri"/>
          <w:sz w:val="24"/>
          <w:szCs w:val="24"/>
          <w:lang w:val="es-PE"/>
        </w:rPr>
        <w:t xml:space="preserve"> </w:t>
      </w:r>
      <w:proofErr w:type="spellStart"/>
      <w:r w:rsidRPr="00DC1513">
        <w:rPr>
          <w:rFonts w:eastAsia="Calibri"/>
          <w:sz w:val="24"/>
          <w:szCs w:val="24"/>
          <w:lang w:val="es-PE"/>
        </w:rPr>
        <w:t>Bulletin</w:t>
      </w:r>
      <w:proofErr w:type="spellEnd"/>
      <w:r w:rsidRPr="00DC1513">
        <w:rPr>
          <w:rFonts w:eastAsia="Calibri"/>
          <w:sz w:val="24"/>
          <w:szCs w:val="24"/>
          <w:lang w:val="es-PE"/>
        </w:rPr>
        <w:t>, 62(8), 1596–1605. [https://doi.org/10.1016/j.marpolbul.2011.05.030](https://doi.org/10.1016/j.marpolbul.2011.05.030)</w:t>
      </w:r>
    </w:p>
    <w:p w14:paraId="4C3A8FA2" w14:textId="77777777" w:rsidR="00DC1513" w:rsidRPr="00DC1513" w:rsidRDefault="00DC1513" w:rsidP="00DC1513">
      <w:pPr>
        <w:pStyle w:val="Els-body-text"/>
        <w:spacing w:line="276" w:lineRule="auto"/>
        <w:ind w:firstLine="720"/>
        <w:rPr>
          <w:rFonts w:eastAsia="Calibri"/>
          <w:sz w:val="24"/>
          <w:szCs w:val="24"/>
          <w:lang w:val="es-PE"/>
        </w:rPr>
      </w:pPr>
    </w:p>
    <w:p w14:paraId="7DA52991"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 xml:space="preserve">2. Browne, M. A., </w:t>
      </w:r>
      <w:proofErr w:type="spellStart"/>
      <w:r w:rsidRPr="00DC1513">
        <w:rPr>
          <w:rFonts w:eastAsia="Calibri"/>
          <w:sz w:val="24"/>
          <w:szCs w:val="24"/>
          <w:lang w:val="es-PE"/>
        </w:rPr>
        <w:t>Dissanayake</w:t>
      </w:r>
      <w:proofErr w:type="spellEnd"/>
      <w:r w:rsidRPr="00DC1513">
        <w:rPr>
          <w:rFonts w:eastAsia="Calibri"/>
          <w:sz w:val="24"/>
          <w:szCs w:val="24"/>
          <w:lang w:val="es-PE"/>
        </w:rPr>
        <w:t xml:space="preserve">, A., Galloway, T. S., </w:t>
      </w:r>
      <w:proofErr w:type="spellStart"/>
      <w:r w:rsidRPr="00DC1513">
        <w:rPr>
          <w:rFonts w:eastAsia="Calibri"/>
          <w:sz w:val="24"/>
          <w:szCs w:val="24"/>
          <w:lang w:val="es-PE"/>
        </w:rPr>
        <w:t>Lowe</w:t>
      </w:r>
      <w:proofErr w:type="spellEnd"/>
      <w:r w:rsidRPr="00DC1513">
        <w:rPr>
          <w:rFonts w:eastAsia="Calibri"/>
          <w:sz w:val="24"/>
          <w:szCs w:val="24"/>
          <w:lang w:val="es-PE"/>
        </w:rPr>
        <w:t>, D. M., &amp; Thompson, R. C. (2008). *</w:t>
      </w:r>
      <w:proofErr w:type="spellStart"/>
      <w:r w:rsidRPr="00DC1513">
        <w:rPr>
          <w:rFonts w:eastAsia="Calibri"/>
          <w:sz w:val="24"/>
          <w:szCs w:val="24"/>
          <w:lang w:val="es-PE"/>
        </w:rPr>
        <w:t>Ingested</w:t>
      </w:r>
      <w:proofErr w:type="spellEnd"/>
      <w:r w:rsidRPr="00DC1513">
        <w:rPr>
          <w:rFonts w:eastAsia="Calibri"/>
          <w:sz w:val="24"/>
          <w:szCs w:val="24"/>
          <w:lang w:val="es-PE"/>
        </w:rPr>
        <w:t xml:space="preserve"> </w:t>
      </w:r>
      <w:proofErr w:type="spellStart"/>
      <w:r w:rsidRPr="00DC1513">
        <w:rPr>
          <w:rFonts w:eastAsia="Calibri"/>
          <w:sz w:val="24"/>
          <w:szCs w:val="24"/>
          <w:lang w:val="es-PE"/>
        </w:rPr>
        <w:t>microscopic</w:t>
      </w:r>
      <w:proofErr w:type="spellEnd"/>
      <w:r w:rsidRPr="00DC1513">
        <w:rPr>
          <w:rFonts w:eastAsia="Calibri"/>
          <w:sz w:val="24"/>
          <w:szCs w:val="24"/>
          <w:lang w:val="es-PE"/>
        </w:rPr>
        <w:t xml:space="preserve"> </w:t>
      </w:r>
      <w:proofErr w:type="spellStart"/>
      <w:r w:rsidRPr="00DC1513">
        <w:rPr>
          <w:rFonts w:eastAsia="Calibri"/>
          <w:sz w:val="24"/>
          <w:szCs w:val="24"/>
          <w:lang w:val="es-PE"/>
        </w:rPr>
        <w:t>plastic</w:t>
      </w:r>
      <w:proofErr w:type="spellEnd"/>
      <w:r w:rsidRPr="00DC1513">
        <w:rPr>
          <w:rFonts w:eastAsia="Calibri"/>
          <w:sz w:val="24"/>
          <w:szCs w:val="24"/>
          <w:lang w:val="es-PE"/>
        </w:rPr>
        <w:t xml:space="preserve"> </w:t>
      </w:r>
      <w:proofErr w:type="spellStart"/>
      <w:r w:rsidRPr="00DC1513">
        <w:rPr>
          <w:rFonts w:eastAsia="Calibri"/>
          <w:sz w:val="24"/>
          <w:szCs w:val="24"/>
          <w:lang w:val="es-PE"/>
        </w:rPr>
        <w:t>translocates</w:t>
      </w:r>
      <w:proofErr w:type="spellEnd"/>
      <w:r w:rsidRPr="00DC1513">
        <w:rPr>
          <w:rFonts w:eastAsia="Calibri"/>
          <w:sz w:val="24"/>
          <w:szCs w:val="24"/>
          <w:lang w:val="es-PE"/>
        </w:rPr>
        <w:t xml:space="preserve"> </w:t>
      </w:r>
      <w:proofErr w:type="spellStart"/>
      <w:r w:rsidRPr="00DC1513">
        <w:rPr>
          <w:rFonts w:eastAsia="Calibri"/>
          <w:sz w:val="24"/>
          <w:szCs w:val="24"/>
          <w:lang w:val="es-PE"/>
        </w:rPr>
        <w:t>to</w:t>
      </w:r>
      <w:proofErr w:type="spellEnd"/>
      <w:r w:rsidRPr="00DC1513">
        <w:rPr>
          <w:rFonts w:eastAsia="Calibri"/>
          <w:sz w:val="24"/>
          <w:szCs w:val="24"/>
          <w:lang w:val="es-PE"/>
        </w:rPr>
        <w:t xml:space="preserve"> </w:t>
      </w:r>
      <w:proofErr w:type="spellStart"/>
      <w:r w:rsidRPr="00DC1513">
        <w:rPr>
          <w:rFonts w:eastAsia="Calibri"/>
          <w:sz w:val="24"/>
          <w:szCs w:val="24"/>
          <w:lang w:val="es-PE"/>
        </w:rPr>
        <w:t>the</w:t>
      </w:r>
      <w:proofErr w:type="spellEnd"/>
      <w:r w:rsidRPr="00DC1513">
        <w:rPr>
          <w:rFonts w:eastAsia="Calibri"/>
          <w:sz w:val="24"/>
          <w:szCs w:val="24"/>
          <w:lang w:val="es-PE"/>
        </w:rPr>
        <w:t xml:space="preserve"> </w:t>
      </w:r>
      <w:proofErr w:type="spellStart"/>
      <w:r w:rsidRPr="00DC1513">
        <w:rPr>
          <w:rFonts w:eastAsia="Calibri"/>
          <w:sz w:val="24"/>
          <w:szCs w:val="24"/>
          <w:lang w:val="es-PE"/>
        </w:rPr>
        <w:t>circulatory</w:t>
      </w:r>
      <w:proofErr w:type="spellEnd"/>
      <w:r w:rsidRPr="00DC1513">
        <w:rPr>
          <w:rFonts w:eastAsia="Calibri"/>
          <w:sz w:val="24"/>
          <w:szCs w:val="24"/>
          <w:lang w:val="es-PE"/>
        </w:rPr>
        <w:t xml:space="preserve"> </w:t>
      </w:r>
      <w:proofErr w:type="spellStart"/>
      <w:r w:rsidRPr="00DC1513">
        <w:rPr>
          <w:rFonts w:eastAsia="Calibri"/>
          <w:sz w:val="24"/>
          <w:szCs w:val="24"/>
          <w:lang w:val="es-PE"/>
        </w:rPr>
        <w:t>system</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the</w:t>
      </w:r>
      <w:proofErr w:type="spellEnd"/>
      <w:r w:rsidRPr="00DC1513">
        <w:rPr>
          <w:rFonts w:eastAsia="Calibri"/>
          <w:sz w:val="24"/>
          <w:szCs w:val="24"/>
          <w:lang w:val="es-PE"/>
        </w:rPr>
        <w:t xml:space="preserve"> </w:t>
      </w:r>
      <w:proofErr w:type="spellStart"/>
      <w:r w:rsidRPr="00DC1513">
        <w:rPr>
          <w:rFonts w:eastAsia="Calibri"/>
          <w:sz w:val="24"/>
          <w:szCs w:val="24"/>
          <w:lang w:val="es-PE"/>
        </w:rPr>
        <w:t>mussel</w:t>
      </w:r>
      <w:proofErr w:type="spellEnd"/>
      <w:r w:rsidRPr="00DC1513">
        <w:rPr>
          <w:rFonts w:eastAsia="Calibri"/>
          <w:sz w:val="24"/>
          <w:szCs w:val="24"/>
          <w:lang w:val="es-PE"/>
        </w:rPr>
        <w:t xml:space="preserve">, </w:t>
      </w:r>
      <w:proofErr w:type="spellStart"/>
      <w:r w:rsidRPr="00DC1513">
        <w:rPr>
          <w:rFonts w:eastAsia="Calibri"/>
          <w:sz w:val="24"/>
          <w:szCs w:val="24"/>
          <w:lang w:val="es-PE"/>
        </w:rPr>
        <w:t>Mytilus</w:t>
      </w:r>
      <w:proofErr w:type="spellEnd"/>
      <w:r w:rsidRPr="00DC1513">
        <w:rPr>
          <w:rFonts w:eastAsia="Calibri"/>
          <w:sz w:val="24"/>
          <w:szCs w:val="24"/>
          <w:lang w:val="es-PE"/>
        </w:rPr>
        <w:t xml:space="preserve"> </w:t>
      </w:r>
      <w:proofErr w:type="spellStart"/>
      <w:r w:rsidRPr="00DC1513">
        <w:rPr>
          <w:rFonts w:eastAsia="Calibri"/>
          <w:sz w:val="24"/>
          <w:szCs w:val="24"/>
          <w:lang w:val="es-PE"/>
        </w:rPr>
        <w:t>edulis</w:t>
      </w:r>
      <w:proofErr w:type="spellEnd"/>
      <w:r w:rsidRPr="00DC1513">
        <w:rPr>
          <w:rFonts w:eastAsia="Calibri"/>
          <w:sz w:val="24"/>
          <w:szCs w:val="24"/>
          <w:lang w:val="es-PE"/>
        </w:rPr>
        <w:t xml:space="preserve"> (</w:t>
      </w:r>
      <w:proofErr w:type="gramStart"/>
      <w:r w:rsidRPr="00DC1513">
        <w:rPr>
          <w:rFonts w:eastAsia="Calibri"/>
          <w:sz w:val="24"/>
          <w:szCs w:val="24"/>
          <w:lang w:val="es-PE"/>
        </w:rPr>
        <w:t>L.)*</w:t>
      </w:r>
      <w:proofErr w:type="gramEnd"/>
      <w:r w:rsidRPr="00DC1513">
        <w:rPr>
          <w:rFonts w:eastAsia="Calibri"/>
          <w:sz w:val="24"/>
          <w:szCs w:val="24"/>
          <w:lang w:val="es-PE"/>
        </w:rPr>
        <w:t xml:space="preserve">. </w:t>
      </w:r>
      <w:proofErr w:type="spellStart"/>
      <w:r w:rsidRPr="00DC1513">
        <w:rPr>
          <w:rFonts w:eastAsia="Calibri"/>
          <w:sz w:val="24"/>
          <w:szCs w:val="24"/>
          <w:lang w:val="es-PE"/>
        </w:rPr>
        <w:t>Environmental</w:t>
      </w:r>
      <w:proofErr w:type="spellEnd"/>
      <w:r w:rsidRPr="00DC1513">
        <w:rPr>
          <w:rFonts w:eastAsia="Calibri"/>
          <w:sz w:val="24"/>
          <w:szCs w:val="24"/>
          <w:lang w:val="es-PE"/>
        </w:rPr>
        <w:t xml:space="preserve"> </w:t>
      </w:r>
      <w:proofErr w:type="spellStart"/>
      <w:r w:rsidRPr="00DC1513">
        <w:rPr>
          <w:rFonts w:eastAsia="Calibri"/>
          <w:sz w:val="24"/>
          <w:szCs w:val="24"/>
          <w:lang w:val="es-PE"/>
        </w:rPr>
        <w:t>Science</w:t>
      </w:r>
      <w:proofErr w:type="spellEnd"/>
      <w:r w:rsidRPr="00DC1513">
        <w:rPr>
          <w:rFonts w:eastAsia="Calibri"/>
          <w:sz w:val="24"/>
          <w:szCs w:val="24"/>
          <w:lang w:val="es-PE"/>
        </w:rPr>
        <w:t xml:space="preserve"> &amp; </w:t>
      </w:r>
      <w:proofErr w:type="spellStart"/>
      <w:r w:rsidRPr="00DC1513">
        <w:rPr>
          <w:rFonts w:eastAsia="Calibri"/>
          <w:sz w:val="24"/>
          <w:szCs w:val="24"/>
          <w:lang w:val="es-PE"/>
        </w:rPr>
        <w:t>Technology</w:t>
      </w:r>
      <w:proofErr w:type="spellEnd"/>
      <w:r w:rsidRPr="00DC1513">
        <w:rPr>
          <w:rFonts w:eastAsia="Calibri"/>
          <w:sz w:val="24"/>
          <w:szCs w:val="24"/>
          <w:lang w:val="es-PE"/>
        </w:rPr>
        <w:t>, 42(13), 5026–5031. [https://doi.org/10.1021/es800249a](https://doi.org/10.1021/es800249a)</w:t>
      </w:r>
    </w:p>
    <w:p w14:paraId="44389936" w14:textId="77777777" w:rsidR="00DC1513" w:rsidRPr="00DC1513" w:rsidRDefault="00DC1513" w:rsidP="00DC1513">
      <w:pPr>
        <w:pStyle w:val="Els-body-text"/>
        <w:spacing w:line="276" w:lineRule="auto"/>
        <w:ind w:firstLine="720"/>
        <w:rPr>
          <w:rFonts w:eastAsia="Calibri"/>
          <w:sz w:val="24"/>
          <w:szCs w:val="24"/>
          <w:lang w:val="es-PE"/>
        </w:rPr>
      </w:pPr>
    </w:p>
    <w:p w14:paraId="4A5A7812"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 xml:space="preserve">3. Cóndor, A. P., &amp; Quispe, E. F. (2021). *Evaluación de </w:t>
      </w:r>
      <w:proofErr w:type="spellStart"/>
      <w:r w:rsidRPr="00DC1513">
        <w:rPr>
          <w:rFonts w:eastAsia="Calibri"/>
          <w:sz w:val="24"/>
          <w:szCs w:val="24"/>
          <w:lang w:val="es-PE"/>
        </w:rPr>
        <w:t>microplásticos</w:t>
      </w:r>
      <w:proofErr w:type="spellEnd"/>
      <w:r w:rsidRPr="00DC1513">
        <w:rPr>
          <w:rFonts w:eastAsia="Calibri"/>
          <w:sz w:val="24"/>
          <w:szCs w:val="24"/>
          <w:lang w:val="es-PE"/>
        </w:rPr>
        <w:t xml:space="preserve"> en el Lago Titicaca y su impacto en peces nativos*. Revista Peruana de Biología, 28(3), 437–446. [https://doi.org/10.15381/rpb.v28i3.21345](https://doi.org/10.15381/rpb.v28i3.21345)</w:t>
      </w:r>
    </w:p>
    <w:p w14:paraId="0BBD2103" w14:textId="77777777" w:rsidR="00DC1513" w:rsidRPr="00DC1513" w:rsidRDefault="00DC1513" w:rsidP="00DC1513">
      <w:pPr>
        <w:pStyle w:val="Els-body-text"/>
        <w:spacing w:line="276" w:lineRule="auto"/>
        <w:ind w:firstLine="720"/>
        <w:rPr>
          <w:rFonts w:eastAsia="Calibri"/>
          <w:sz w:val="24"/>
          <w:szCs w:val="24"/>
          <w:lang w:val="es-PE"/>
        </w:rPr>
      </w:pPr>
    </w:p>
    <w:p w14:paraId="71A814BA"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 xml:space="preserve">4. Hidalgo-Ruz, V., </w:t>
      </w:r>
      <w:proofErr w:type="spellStart"/>
      <w:r w:rsidRPr="00DC1513">
        <w:rPr>
          <w:rFonts w:eastAsia="Calibri"/>
          <w:sz w:val="24"/>
          <w:szCs w:val="24"/>
          <w:lang w:val="es-PE"/>
        </w:rPr>
        <w:t>Gutow</w:t>
      </w:r>
      <w:proofErr w:type="spellEnd"/>
      <w:r w:rsidRPr="00DC1513">
        <w:rPr>
          <w:rFonts w:eastAsia="Calibri"/>
          <w:sz w:val="24"/>
          <w:szCs w:val="24"/>
          <w:lang w:val="es-PE"/>
        </w:rPr>
        <w:t>, L., Thompson, R. C., &amp; Thiel, M. (2012). *</w:t>
      </w:r>
      <w:proofErr w:type="spellStart"/>
      <w:r w:rsidRPr="00DC1513">
        <w:rPr>
          <w:rFonts w:eastAsia="Calibri"/>
          <w:sz w:val="24"/>
          <w:szCs w:val="24"/>
          <w:lang w:val="es-PE"/>
        </w:rPr>
        <w:t>Microplastics</w:t>
      </w:r>
      <w:proofErr w:type="spellEnd"/>
      <w:r w:rsidRPr="00DC1513">
        <w:rPr>
          <w:rFonts w:eastAsia="Calibri"/>
          <w:sz w:val="24"/>
          <w:szCs w:val="24"/>
          <w:lang w:val="es-PE"/>
        </w:rPr>
        <w:t xml:space="preserve"> in </w:t>
      </w:r>
      <w:proofErr w:type="spellStart"/>
      <w:r w:rsidRPr="00DC1513">
        <w:rPr>
          <w:rFonts w:eastAsia="Calibri"/>
          <w:sz w:val="24"/>
          <w:szCs w:val="24"/>
          <w:lang w:val="es-PE"/>
        </w:rPr>
        <w:t>the</w:t>
      </w:r>
      <w:proofErr w:type="spellEnd"/>
      <w:r w:rsidRPr="00DC1513">
        <w:rPr>
          <w:rFonts w:eastAsia="Calibri"/>
          <w:sz w:val="24"/>
          <w:szCs w:val="24"/>
          <w:lang w:val="es-PE"/>
        </w:rPr>
        <w:t xml:space="preserve"> marine </w:t>
      </w:r>
      <w:proofErr w:type="spellStart"/>
      <w:r w:rsidRPr="00DC1513">
        <w:rPr>
          <w:rFonts w:eastAsia="Calibri"/>
          <w:sz w:val="24"/>
          <w:szCs w:val="24"/>
          <w:lang w:val="es-PE"/>
        </w:rPr>
        <w:t>environment</w:t>
      </w:r>
      <w:proofErr w:type="spellEnd"/>
      <w:r w:rsidRPr="00DC1513">
        <w:rPr>
          <w:rFonts w:eastAsia="Calibri"/>
          <w:sz w:val="24"/>
          <w:szCs w:val="24"/>
          <w:lang w:val="es-PE"/>
        </w:rPr>
        <w:t xml:space="preserve">: A </w:t>
      </w:r>
      <w:proofErr w:type="spellStart"/>
      <w:r w:rsidRPr="00DC1513">
        <w:rPr>
          <w:rFonts w:eastAsia="Calibri"/>
          <w:sz w:val="24"/>
          <w:szCs w:val="24"/>
          <w:lang w:val="es-PE"/>
        </w:rPr>
        <w:t>review</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the</w:t>
      </w:r>
      <w:proofErr w:type="spellEnd"/>
      <w:r w:rsidRPr="00DC1513">
        <w:rPr>
          <w:rFonts w:eastAsia="Calibri"/>
          <w:sz w:val="24"/>
          <w:szCs w:val="24"/>
          <w:lang w:val="es-PE"/>
        </w:rPr>
        <w:t xml:space="preserve"> </w:t>
      </w:r>
      <w:proofErr w:type="spellStart"/>
      <w:r w:rsidRPr="00DC1513">
        <w:rPr>
          <w:rFonts w:eastAsia="Calibri"/>
          <w:sz w:val="24"/>
          <w:szCs w:val="24"/>
          <w:lang w:val="es-PE"/>
        </w:rPr>
        <w:t>methods</w:t>
      </w:r>
      <w:proofErr w:type="spellEnd"/>
      <w:r w:rsidRPr="00DC1513">
        <w:rPr>
          <w:rFonts w:eastAsia="Calibri"/>
          <w:sz w:val="24"/>
          <w:szCs w:val="24"/>
          <w:lang w:val="es-PE"/>
        </w:rPr>
        <w:t xml:space="preserve"> </w:t>
      </w:r>
      <w:proofErr w:type="spellStart"/>
      <w:r w:rsidRPr="00DC1513">
        <w:rPr>
          <w:rFonts w:eastAsia="Calibri"/>
          <w:sz w:val="24"/>
          <w:szCs w:val="24"/>
          <w:lang w:val="es-PE"/>
        </w:rPr>
        <w:t>used</w:t>
      </w:r>
      <w:proofErr w:type="spellEnd"/>
      <w:r w:rsidRPr="00DC1513">
        <w:rPr>
          <w:rFonts w:eastAsia="Calibri"/>
          <w:sz w:val="24"/>
          <w:szCs w:val="24"/>
          <w:lang w:val="es-PE"/>
        </w:rPr>
        <w:t xml:space="preserve"> </w:t>
      </w:r>
      <w:proofErr w:type="spellStart"/>
      <w:r w:rsidRPr="00DC1513">
        <w:rPr>
          <w:rFonts w:eastAsia="Calibri"/>
          <w:sz w:val="24"/>
          <w:szCs w:val="24"/>
          <w:lang w:val="es-PE"/>
        </w:rPr>
        <w:t>for</w:t>
      </w:r>
      <w:proofErr w:type="spellEnd"/>
      <w:r w:rsidRPr="00DC1513">
        <w:rPr>
          <w:rFonts w:eastAsia="Calibri"/>
          <w:sz w:val="24"/>
          <w:szCs w:val="24"/>
          <w:lang w:val="es-PE"/>
        </w:rPr>
        <w:t xml:space="preserve"> </w:t>
      </w:r>
      <w:proofErr w:type="spellStart"/>
      <w:r w:rsidRPr="00DC1513">
        <w:rPr>
          <w:rFonts w:eastAsia="Calibri"/>
          <w:sz w:val="24"/>
          <w:szCs w:val="24"/>
          <w:lang w:val="es-PE"/>
        </w:rPr>
        <w:t>identification</w:t>
      </w:r>
      <w:proofErr w:type="spellEnd"/>
      <w:r w:rsidRPr="00DC1513">
        <w:rPr>
          <w:rFonts w:eastAsia="Calibri"/>
          <w:sz w:val="24"/>
          <w:szCs w:val="24"/>
          <w:lang w:val="es-PE"/>
        </w:rPr>
        <w:t xml:space="preserve"> and </w:t>
      </w:r>
      <w:proofErr w:type="spellStart"/>
      <w:r w:rsidRPr="00DC1513">
        <w:rPr>
          <w:rFonts w:eastAsia="Calibri"/>
          <w:sz w:val="24"/>
          <w:szCs w:val="24"/>
          <w:lang w:val="es-PE"/>
        </w:rPr>
        <w:t>quantification</w:t>
      </w:r>
      <w:proofErr w:type="spellEnd"/>
      <w:r w:rsidRPr="00DC1513">
        <w:rPr>
          <w:rFonts w:eastAsia="Calibri"/>
          <w:sz w:val="24"/>
          <w:szCs w:val="24"/>
          <w:lang w:val="es-PE"/>
        </w:rPr>
        <w:t xml:space="preserve">*. </w:t>
      </w:r>
      <w:proofErr w:type="spellStart"/>
      <w:r w:rsidRPr="00DC1513">
        <w:rPr>
          <w:rFonts w:eastAsia="Calibri"/>
          <w:sz w:val="24"/>
          <w:szCs w:val="24"/>
          <w:lang w:val="es-PE"/>
        </w:rPr>
        <w:t>Environmental</w:t>
      </w:r>
      <w:proofErr w:type="spellEnd"/>
      <w:r w:rsidRPr="00DC1513">
        <w:rPr>
          <w:rFonts w:eastAsia="Calibri"/>
          <w:sz w:val="24"/>
          <w:szCs w:val="24"/>
          <w:lang w:val="es-PE"/>
        </w:rPr>
        <w:t xml:space="preserve"> </w:t>
      </w:r>
      <w:proofErr w:type="spellStart"/>
      <w:r w:rsidRPr="00DC1513">
        <w:rPr>
          <w:rFonts w:eastAsia="Calibri"/>
          <w:sz w:val="24"/>
          <w:szCs w:val="24"/>
          <w:lang w:val="es-PE"/>
        </w:rPr>
        <w:t>Science</w:t>
      </w:r>
      <w:proofErr w:type="spellEnd"/>
      <w:r w:rsidRPr="00DC1513">
        <w:rPr>
          <w:rFonts w:eastAsia="Calibri"/>
          <w:sz w:val="24"/>
          <w:szCs w:val="24"/>
          <w:lang w:val="es-PE"/>
        </w:rPr>
        <w:t xml:space="preserve"> &amp; </w:t>
      </w:r>
      <w:proofErr w:type="spellStart"/>
      <w:r w:rsidRPr="00DC1513">
        <w:rPr>
          <w:rFonts w:eastAsia="Calibri"/>
          <w:sz w:val="24"/>
          <w:szCs w:val="24"/>
          <w:lang w:val="es-PE"/>
        </w:rPr>
        <w:t>Technology</w:t>
      </w:r>
      <w:proofErr w:type="spellEnd"/>
      <w:r w:rsidRPr="00DC1513">
        <w:rPr>
          <w:rFonts w:eastAsia="Calibri"/>
          <w:sz w:val="24"/>
          <w:szCs w:val="24"/>
          <w:lang w:val="es-PE"/>
        </w:rPr>
        <w:t>, 46(6), 3060–3075. [https://doi.org/10.1021/es2031505](https://doi.org/10.1021/es2031505)</w:t>
      </w:r>
    </w:p>
    <w:p w14:paraId="58301CF4" w14:textId="77777777" w:rsidR="00DC1513" w:rsidRPr="00DC1513" w:rsidRDefault="00DC1513" w:rsidP="00DC1513">
      <w:pPr>
        <w:pStyle w:val="Els-body-text"/>
        <w:spacing w:line="276" w:lineRule="auto"/>
        <w:ind w:firstLine="720"/>
        <w:rPr>
          <w:rFonts w:eastAsia="Calibri"/>
          <w:sz w:val="24"/>
          <w:szCs w:val="24"/>
          <w:lang w:val="es-PE"/>
        </w:rPr>
      </w:pPr>
    </w:p>
    <w:p w14:paraId="48D3A05F"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5. FAO. (2017). *</w:t>
      </w:r>
      <w:proofErr w:type="spellStart"/>
      <w:r w:rsidRPr="00DC1513">
        <w:rPr>
          <w:rFonts w:eastAsia="Calibri"/>
          <w:sz w:val="24"/>
          <w:szCs w:val="24"/>
          <w:lang w:val="es-PE"/>
        </w:rPr>
        <w:t>Microplastics</w:t>
      </w:r>
      <w:proofErr w:type="spellEnd"/>
      <w:r w:rsidRPr="00DC1513">
        <w:rPr>
          <w:rFonts w:eastAsia="Calibri"/>
          <w:sz w:val="24"/>
          <w:szCs w:val="24"/>
          <w:lang w:val="es-PE"/>
        </w:rPr>
        <w:t xml:space="preserve"> in </w:t>
      </w:r>
      <w:proofErr w:type="spellStart"/>
      <w:r w:rsidRPr="00DC1513">
        <w:rPr>
          <w:rFonts w:eastAsia="Calibri"/>
          <w:sz w:val="24"/>
          <w:szCs w:val="24"/>
          <w:lang w:val="es-PE"/>
        </w:rPr>
        <w:t>fisheries</w:t>
      </w:r>
      <w:proofErr w:type="spellEnd"/>
      <w:r w:rsidRPr="00DC1513">
        <w:rPr>
          <w:rFonts w:eastAsia="Calibri"/>
          <w:sz w:val="24"/>
          <w:szCs w:val="24"/>
          <w:lang w:val="es-PE"/>
        </w:rPr>
        <w:t xml:space="preserve"> and </w:t>
      </w:r>
      <w:proofErr w:type="spellStart"/>
      <w:r w:rsidRPr="00DC1513">
        <w:rPr>
          <w:rFonts w:eastAsia="Calibri"/>
          <w:sz w:val="24"/>
          <w:szCs w:val="24"/>
          <w:lang w:val="es-PE"/>
        </w:rPr>
        <w:t>aquaculture</w:t>
      </w:r>
      <w:proofErr w:type="spellEnd"/>
      <w:r w:rsidRPr="00DC1513">
        <w:rPr>
          <w:rFonts w:eastAsia="Calibri"/>
          <w:sz w:val="24"/>
          <w:szCs w:val="24"/>
          <w:lang w:val="es-PE"/>
        </w:rPr>
        <w:t xml:space="preserve">: Status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knowledge</w:t>
      </w:r>
      <w:proofErr w:type="spellEnd"/>
      <w:r w:rsidRPr="00DC1513">
        <w:rPr>
          <w:rFonts w:eastAsia="Calibri"/>
          <w:sz w:val="24"/>
          <w:szCs w:val="24"/>
          <w:lang w:val="es-PE"/>
        </w:rPr>
        <w:t xml:space="preserve"> </w:t>
      </w:r>
      <w:proofErr w:type="spellStart"/>
      <w:r w:rsidRPr="00DC1513">
        <w:rPr>
          <w:rFonts w:eastAsia="Calibri"/>
          <w:sz w:val="24"/>
          <w:szCs w:val="24"/>
          <w:lang w:val="es-PE"/>
        </w:rPr>
        <w:t>on</w:t>
      </w:r>
      <w:proofErr w:type="spellEnd"/>
      <w:r w:rsidRPr="00DC1513">
        <w:rPr>
          <w:rFonts w:eastAsia="Calibri"/>
          <w:sz w:val="24"/>
          <w:szCs w:val="24"/>
          <w:lang w:val="es-PE"/>
        </w:rPr>
        <w:t xml:space="preserve"> </w:t>
      </w:r>
      <w:proofErr w:type="spellStart"/>
      <w:r w:rsidRPr="00DC1513">
        <w:rPr>
          <w:rFonts w:eastAsia="Calibri"/>
          <w:sz w:val="24"/>
          <w:szCs w:val="24"/>
          <w:lang w:val="es-PE"/>
        </w:rPr>
        <w:t>their</w:t>
      </w:r>
      <w:proofErr w:type="spellEnd"/>
      <w:r w:rsidRPr="00DC1513">
        <w:rPr>
          <w:rFonts w:eastAsia="Calibri"/>
          <w:sz w:val="24"/>
          <w:szCs w:val="24"/>
          <w:lang w:val="es-PE"/>
        </w:rPr>
        <w:t xml:space="preserve"> </w:t>
      </w:r>
      <w:proofErr w:type="spellStart"/>
      <w:r w:rsidRPr="00DC1513">
        <w:rPr>
          <w:rFonts w:eastAsia="Calibri"/>
          <w:sz w:val="24"/>
          <w:szCs w:val="24"/>
          <w:lang w:val="es-PE"/>
        </w:rPr>
        <w:t>occurrence</w:t>
      </w:r>
      <w:proofErr w:type="spellEnd"/>
      <w:r w:rsidRPr="00DC1513">
        <w:rPr>
          <w:rFonts w:eastAsia="Calibri"/>
          <w:sz w:val="24"/>
          <w:szCs w:val="24"/>
          <w:lang w:val="es-PE"/>
        </w:rPr>
        <w:t xml:space="preserve"> and </w:t>
      </w:r>
      <w:proofErr w:type="spellStart"/>
      <w:r w:rsidRPr="00DC1513">
        <w:rPr>
          <w:rFonts w:eastAsia="Calibri"/>
          <w:sz w:val="24"/>
          <w:szCs w:val="24"/>
          <w:lang w:val="es-PE"/>
        </w:rPr>
        <w:t>implications</w:t>
      </w:r>
      <w:proofErr w:type="spellEnd"/>
      <w:r w:rsidRPr="00DC1513">
        <w:rPr>
          <w:rFonts w:eastAsia="Calibri"/>
          <w:sz w:val="24"/>
          <w:szCs w:val="24"/>
          <w:lang w:val="es-PE"/>
        </w:rPr>
        <w:t xml:space="preserve"> </w:t>
      </w:r>
      <w:proofErr w:type="spellStart"/>
      <w:r w:rsidRPr="00DC1513">
        <w:rPr>
          <w:rFonts w:eastAsia="Calibri"/>
          <w:sz w:val="24"/>
          <w:szCs w:val="24"/>
          <w:lang w:val="es-PE"/>
        </w:rPr>
        <w:t>for</w:t>
      </w:r>
      <w:proofErr w:type="spellEnd"/>
      <w:r w:rsidRPr="00DC1513">
        <w:rPr>
          <w:rFonts w:eastAsia="Calibri"/>
          <w:sz w:val="24"/>
          <w:szCs w:val="24"/>
          <w:lang w:val="es-PE"/>
        </w:rPr>
        <w:t xml:space="preserve"> </w:t>
      </w:r>
      <w:proofErr w:type="spellStart"/>
      <w:r w:rsidRPr="00DC1513">
        <w:rPr>
          <w:rFonts w:eastAsia="Calibri"/>
          <w:sz w:val="24"/>
          <w:szCs w:val="24"/>
          <w:lang w:val="es-PE"/>
        </w:rPr>
        <w:t>aquatic</w:t>
      </w:r>
      <w:proofErr w:type="spellEnd"/>
      <w:r w:rsidRPr="00DC1513">
        <w:rPr>
          <w:rFonts w:eastAsia="Calibri"/>
          <w:sz w:val="24"/>
          <w:szCs w:val="24"/>
          <w:lang w:val="es-PE"/>
        </w:rPr>
        <w:t xml:space="preserve"> </w:t>
      </w:r>
      <w:proofErr w:type="spellStart"/>
      <w:r w:rsidRPr="00DC1513">
        <w:rPr>
          <w:rFonts w:eastAsia="Calibri"/>
          <w:sz w:val="24"/>
          <w:szCs w:val="24"/>
          <w:lang w:val="es-PE"/>
        </w:rPr>
        <w:t>organisms</w:t>
      </w:r>
      <w:proofErr w:type="spellEnd"/>
      <w:r w:rsidRPr="00DC1513">
        <w:rPr>
          <w:rFonts w:eastAsia="Calibri"/>
          <w:sz w:val="24"/>
          <w:szCs w:val="24"/>
          <w:lang w:val="es-PE"/>
        </w:rPr>
        <w:t xml:space="preserve"> and </w:t>
      </w:r>
      <w:proofErr w:type="spellStart"/>
      <w:r w:rsidRPr="00DC1513">
        <w:rPr>
          <w:rFonts w:eastAsia="Calibri"/>
          <w:sz w:val="24"/>
          <w:szCs w:val="24"/>
          <w:lang w:val="es-PE"/>
        </w:rPr>
        <w:t>food</w:t>
      </w:r>
      <w:proofErr w:type="spellEnd"/>
      <w:r w:rsidRPr="00DC1513">
        <w:rPr>
          <w:rFonts w:eastAsia="Calibri"/>
          <w:sz w:val="24"/>
          <w:szCs w:val="24"/>
          <w:lang w:val="es-PE"/>
        </w:rPr>
        <w:t xml:space="preserve"> safety*. FAO </w:t>
      </w:r>
      <w:proofErr w:type="spellStart"/>
      <w:r w:rsidRPr="00DC1513">
        <w:rPr>
          <w:rFonts w:eastAsia="Calibri"/>
          <w:sz w:val="24"/>
          <w:szCs w:val="24"/>
          <w:lang w:val="es-PE"/>
        </w:rPr>
        <w:t>Fisheries</w:t>
      </w:r>
      <w:proofErr w:type="spellEnd"/>
      <w:r w:rsidRPr="00DC1513">
        <w:rPr>
          <w:rFonts w:eastAsia="Calibri"/>
          <w:sz w:val="24"/>
          <w:szCs w:val="24"/>
          <w:lang w:val="es-PE"/>
        </w:rPr>
        <w:t xml:space="preserve"> and </w:t>
      </w:r>
      <w:proofErr w:type="spellStart"/>
      <w:r w:rsidRPr="00DC1513">
        <w:rPr>
          <w:rFonts w:eastAsia="Calibri"/>
          <w:sz w:val="24"/>
          <w:szCs w:val="24"/>
          <w:lang w:val="es-PE"/>
        </w:rPr>
        <w:t>Aquaculture</w:t>
      </w:r>
      <w:proofErr w:type="spellEnd"/>
      <w:r w:rsidRPr="00DC1513">
        <w:rPr>
          <w:rFonts w:eastAsia="Calibri"/>
          <w:sz w:val="24"/>
          <w:szCs w:val="24"/>
          <w:lang w:val="es-PE"/>
        </w:rPr>
        <w:t xml:space="preserve"> </w:t>
      </w:r>
      <w:proofErr w:type="spellStart"/>
      <w:r w:rsidRPr="00DC1513">
        <w:rPr>
          <w:rFonts w:eastAsia="Calibri"/>
          <w:sz w:val="24"/>
          <w:szCs w:val="24"/>
          <w:lang w:val="es-PE"/>
        </w:rPr>
        <w:t>Technical</w:t>
      </w:r>
      <w:proofErr w:type="spellEnd"/>
      <w:r w:rsidRPr="00DC1513">
        <w:rPr>
          <w:rFonts w:eastAsia="Calibri"/>
          <w:sz w:val="24"/>
          <w:szCs w:val="24"/>
          <w:lang w:val="es-PE"/>
        </w:rPr>
        <w:t xml:space="preserve"> </w:t>
      </w:r>
      <w:proofErr w:type="spellStart"/>
      <w:r w:rsidRPr="00DC1513">
        <w:rPr>
          <w:rFonts w:eastAsia="Calibri"/>
          <w:sz w:val="24"/>
          <w:szCs w:val="24"/>
          <w:lang w:val="es-PE"/>
        </w:rPr>
        <w:t>Paper</w:t>
      </w:r>
      <w:proofErr w:type="spellEnd"/>
      <w:r w:rsidRPr="00DC1513">
        <w:rPr>
          <w:rFonts w:eastAsia="Calibri"/>
          <w:sz w:val="24"/>
          <w:szCs w:val="24"/>
          <w:lang w:val="es-PE"/>
        </w:rPr>
        <w:t xml:space="preserve"> No. 615. [http://www.fao.org/3/i7677e/i7677e.pdf](http://www.fao.org/3/i7677e/i7677e.pdf)</w:t>
      </w:r>
    </w:p>
    <w:p w14:paraId="79BC2D48" w14:textId="77777777" w:rsidR="00DC1513" w:rsidRPr="00DC1513" w:rsidRDefault="00DC1513" w:rsidP="00DC1513">
      <w:pPr>
        <w:pStyle w:val="Els-body-text"/>
        <w:spacing w:line="276" w:lineRule="auto"/>
        <w:ind w:firstLine="720"/>
        <w:rPr>
          <w:rFonts w:eastAsia="Calibri"/>
          <w:sz w:val="24"/>
          <w:szCs w:val="24"/>
          <w:lang w:val="es-PE"/>
        </w:rPr>
      </w:pPr>
    </w:p>
    <w:p w14:paraId="43221C04"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6. GESAMP. (2015). *</w:t>
      </w:r>
      <w:proofErr w:type="spellStart"/>
      <w:r w:rsidRPr="00DC1513">
        <w:rPr>
          <w:rFonts w:eastAsia="Calibri"/>
          <w:sz w:val="24"/>
          <w:szCs w:val="24"/>
          <w:lang w:val="es-PE"/>
        </w:rPr>
        <w:t>Sources</w:t>
      </w:r>
      <w:proofErr w:type="spellEnd"/>
      <w:r w:rsidRPr="00DC1513">
        <w:rPr>
          <w:rFonts w:eastAsia="Calibri"/>
          <w:sz w:val="24"/>
          <w:szCs w:val="24"/>
          <w:lang w:val="es-PE"/>
        </w:rPr>
        <w:t xml:space="preserve">, fate and </w:t>
      </w:r>
      <w:proofErr w:type="spellStart"/>
      <w:r w:rsidRPr="00DC1513">
        <w:rPr>
          <w:rFonts w:eastAsia="Calibri"/>
          <w:sz w:val="24"/>
          <w:szCs w:val="24"/>
          <w:lang w:val="es-PE"/>
        </w:rPr>
        <w:t>effects</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microplastics</w:t>
      </w:r>
      <w:proofErr w:type="spellEnd"/>
      <w:r w:rsidRPr="00DC1513">
        <w:rPr>
          <w:rFonts w:eastAsia="Calibri"/>
          <w:sz w:val="24"/>
          <w:szCs w:val="24"/>
          <w:lang w:val="es-PE"/>
        </w:rPr>
        <w:t xml:space="preserve"> in </w:t>
      </w:r>
      <w:proofErr w:type="spellStart"/>
      <w:r w:rsidRPr="00DC1513">
        <w:rPr>
          <w:rFonts w:eastAsia="Calibri"/>
          <w:sz w:val="24"/>
          <w:szCs w:val="24"/>
          <w:lang w:val="es-PE"/>
        </w:rPr>
        <w:t>the</w:t>
      </w:r>
      <w:proofErr w:type="spellEnd"/>
      <w:r w:rsidRPr="00DC1513">
        <w:rPr>
          <w:rFonts w:eastAsia="Calibri"/>
          <w:sz w:val="24"/>
          <w:szCs w:val="24"/>
          <w:lang w:val="es-PE"/>
        </w:rPr>
        <w:t xml:space="preserve"> marine </w:t>
      </w:r>
      <w:proofErr w:type="spellStart"/>
      <w:r w:rsidRPr="00DC1513">
        <w:rPr>
          <w:rFonts w:eastAsia="Calibri"/>
          <w:sz w:val="24"/>
          <w:szCs w:val="24"/>
          <w:lang w:val="es-PE"/>
        </w:rPr>
        <w:t>environment</w:t>
      </w:r>
      <w:proofErr w:type="spellEnd"/>
      <w:r w:rsidRPr="00DC1513">
        <w:rPr>
          <w:rFonts w:eastAsia="Calibri"/>
          <w:sz w:val="24"/>
          <w:szCs w:val="24"/>
          <w:lang w:val="es-PE"/>
        </w:rPr>
        <w:t xml:space="preserve">: A global </w:t>
      </w:r>
      <w:proofErr w:type="spellStart"/>
      <w:r w:rsidRPr="00DC1513">
        <w:rPr>
          <w:rFonts w:eastAsia="Calibri"/>
          <w:sz w:val="24"/>
          <w:szCs w:val="24"/>
          <w:lang w:val="es-PE"/>
        </w:rPr>
        <w:t>assessment</w:t>
      </w:r>
      <w:proofErr w:type="spellEnd"/>
      <w:r w:rsidRPr="00DC1513">
        <w:rPr>
          <w:rFonts w:eastAsia="Calibri"/>
          <w:sz w:val="24"/>
          <w:szCs w:val="24"/>
          <w:lang w:val="es-PE"/>
        </w:rPr>
        <w:t>*. (</w:t>
      </w:r>
      <w:proofErr w:type="spellStart"/>
      <w:r w:rsidRPr="00DC1513">
        <w:rPr>
          <w:rFonts w:eastAsia="Calibri"/>
          <w:sz w:val="24"/>
          <w:szCs w:val="24"/>
          <w:lang w:val="es-PE"/>
        </w:rPr>
        <w:t>Kershaw</w:t>
      </w:r>
      <w:proofErr w:type="spellEnd"/>
      <w:r w:rsidRPr="00DC1513">
        <w:rPr>
          <w:rFonts w:eastAsia="Calibri"/>
          <w:sz w:val="24"/>
          <w:szCs w:val="24"/>
          <w:lang w:val="es-PE"/>
        </w:rPr>
        <w:t xml:space="preserve">, P. J., ed.). IMO/FAO/UNESCO-IOC/UNIDO/WMO/IAEA/UN/UNEP </w:t>
      </w:r>
      <w:proofErr w:type="spellStart"/>
      <w:r w:rsidRPr="00DC1513">
        <w:rPr>
          <w:rFonts w:eastAsia="Calibri"/>
          <w:sz w:val="24"/>
          <w:szCs w:val="24"/>
          <w:lang w:val="es-PE"/>
        </w:rPr>
        <w:t>Joint</w:t>
      </w:r>
      <w:proofErr w:type="spellEnd"/>
      <w:r w:rsidRPr="00DC1513">
        <w:rPr>
          <w:rFonts w:eastAsia="Calibri"/>
          <w:sz w:val="24"/>
          <w:szCs w:val="24"/>
          <w:lang w:val="es-PE"/>
        </w:rPr>
        <w:t xml:space="preserve"> </w:t>
      </w:r>
      <w:proofErr w:type="spellStart"/>
      <w:r w:rsidRPr="00DC1513">
        <w:rPr>
          <w:rFonts w:eastAsia="Calibri"/>
          <w:sz w:val="24"/>
          <w:szCs w:val="24"/>
          <w:lang w:val="es-PE"/>
        </w:rPr>
        <w:t>Group</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Experts</w:t>
      </w:r>
      <w:proofErr w:type="spellEnd"/>
      <w:r w:rsidRPr="00DC1513">
        <w:rPr>
          <w:rFonts w:eastAsia="Calibri"/>
          <w:sz w:val="24"/>
          <w:szCs w:val="24"/>
          <w:lang w:val="es-PE"/>
        </w:rPr>
        <w:t xml:space="preserve"> </w:t>
      </w:r>
      <w:proofErr w:type="spellStart"/>
      <w:r w:rsidRPr="00DC1513">
        <w:rPr>
          <w:rFonts w:eastAsia="Calibri"/>
          <w:sz w:val="24"/>
          <w:szCs w:val="24"/>
          <w:lang w:val="es-PE"/>
        </w:rPr>
        <w:t>on</w:t>
      </w:r>
      <w:proofErr w:type="spellEnd"/>
      <w:r w:rsidRPr="00DC1513">
        <w:rPr>
          <w:rFonts w:eastAsia="Calibri"/>
          <w:sz w:val="24"/>
          <w:szCs w:val="24"/>
          <w:lang w:val="es-PE"/>
        </w:rPr>
        <w:t xml:space="preserve"> </w:t>
      </w:r>
      <w:proofErr w:type="spellStart"/>
      <w:r w:rsidRPr="00DC1513">
        <w:rPr>
          <w:rFonts w:eastAsia="Calibri"/>
          <w:sz w:val="24"/>
          <w:szCs w:val="24"/>
          <w:lang w:val="es-PE"/>
        </w:rPr>
        <w:t>the</w:t>
      </w:r>
      <w:proofErr w:type="spellEnd"/>
      <w:r w:rsidRPr="00DC1513">
        <w:rPr>
          <w:rFonts w:eastAsia="Calibri"/>
          <w:sz w:val="24"/>
          <w:szCs w:val="24"/>
          <w:lang w:val="es-PE"/>
        </w:rPr>
        <w:t xml:space="preserve"> </w:t>
      </w:r>
      <w:proofErr w:type="spellStart"/>
      <w:r w:rsidRPr="00DC1513">
        <w:rPr>
          <w:rFonts w:eastAsia="Calibri"/>
          <w:sz w:val="24"/>
          <w:szCs w:val="24"/>
          <w:lang w:val="es-PE"/>
        </w:rPr>
        <w:t>Scientific</w:t>
      </w:r>
      <w:proofErr w:type="spellEnd"/>
      <w:r w:rsidRPr="00DC1513">
        <w:rPr>
          <w:rFonts w:eastAsia="Calibri"/>
          <w:sz w:val="24"/>
          <w:szCs w:val="24"/>
          <w:lang w:val="es-PE"/>
        </w:rPr>
        <w:t xml:space="preserve"> </w:t>
      </w:r>
      <w:proofErr w:type="spellStart"/>
      <w:r w:rsidRPr="00DC1513">
        <w:rPr>
          <w:rFonts w:eastAsia="Calibri"/>
          <w:sz w:val="24"/>
          <w:szCs w:val="24"/>
          <w:lang w:val="es-PE"/>
        </w:rPr>
        <w:t>Aspects</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Marine </w:t>
      </w:r>
      <w:proofErr w:type="spellStart"/>
      <w:r w:rsidRPr="00DC1513">
        <w:rPr>
          <w:rFonts w:eastAsia="Calibri"/>
          <w:sz w:val="24"/>
          <w:szCs w:val="24"/>
          <w:lang w:val="es-PE"/>
        </w:rPr>
        <w:t>Environmental</w:t>
      </w:r>
      <w:proofErr w:type="spellEnd"/>
      <w:r w:rsidRPr="00DC1513">
        <w:rPr>
          <w:rFonts w:eastAsia="Calibri"/>
          <w:sz w:val="24"/>
          <w:szCs w:val="24"/>
          <w:lang w:val="es-PE"/>
        </w:rPr>
        <w:t xml:space="preserve"> </w:t>
      </w:r>
      <w:proofErr w:type="spellStart"/>
      <w:r w:rsidRPr="00DC1513">
        <w:rPr>
          <w:rFonts w:eastAsia="Calibri"/>
          <w:sz w:val="24"/>
          <w:szCs w:val="24"/>
          <w:lang w:val="es-PE"/>
        </w:rPr>
        <w:t>Protection</w:t>
      </w:r>
      <w:proofErr w:type="spellEnd"/>
      <w:r w:rsidRPr="00DC1513">
        <w:rPr>
          <w:rFonts w:eastAsia="Calibri"/>
          <w:sz w:val="24"/>
          <w:szCs w:val="24"/>
          <w:lang w:val="es-PE"/>
        </w:rPr>
        <w:t xml:space="preserve">. </w:t>
      </w:r>
      <w:proofErr w:type="spellStart"/>
      <w:r w:rsidRPr="00DC1513">
        <w:rPr>
          <w:rFonts w:eastAsia="Calibri"/>
          <w:sz w:val="24"/>
          <w:szCs w:val="24"/>
          <w:lang w:val="es-PE"/>
        </w:rPr>
        <w:t>Reports</w:t>
      </w:r>
      <w:proofErr w:type="spellEnd"/>
      <w:r w:rsidRPr="00DC1513">
        <w:rPr>
          <w:rFonts w:eastAsia="Calibri"/>
          <w:sz w:val="24"/>
          <w:szCs w:val="24"/>
          <w:lang w:val="es-PE"/>
        </w:rPr>
        <w:t xml:space="preserve"> and </w:t>
      </w:r>
      <w:proofErr w:type="spellStart"/>
      <w:r w:rsidRPr="00DC1513">
        <w:rPr>
          <w:rFonts w:eastAsia="Calibri"/>
          <w:sz w:val="24"/>
          <w:szCs w:val="24"/>
          <w:lang w:val="es-PE"/>
        </w:rPr>
        <w:t>Studies</w:t>
      </w:r>
      <w:proofErr w:type="spellEnd"/>
      <w:r w:rsidRPr="00DC1513">
        <w:rPr>
          <w:rFonts w:eastAsia="Calibri"/>
          <w:sz w:val="24"/>
          <w:szCs w:val="24"/>
          <w:lang w:val="es-PE"/>
        </w:rPr>
        <w:t xml:space="preserve"> GESAMP No. 90. [https://www.gesamp.org/publications/microplastics-in-the-marine-environment](https://www.gesamp.org/publications/microplastics-in-the-marine-environment)</w:t>
      </w:r>
    </w:p>
    <w:p w14:paraId="0E999ED9" w14:textId="77777777" w:rsidR="00DC1513" w:rsidRPr="00DC1513" w:rsidRDefault="00DC1513" w:rsidP="00DC1513">
      <w:pPr>
        <w:pStyle w:val="Els-body-text"/>
        <w:spacing w:line="276" w:lineRule="auto"/>
        <w:ind w:firstLine="720"/>
        <w:rPr>
          <w:rFonts w:eastAsia="Calibri"/>
          <w:sz w:val="24"/>
          <w:szCs w:val="24"/>
          <w:lang w:val="es-PE"/>
        </w:rPr>
      </w:pPr>
    </w:p>
    <w:p w14:paraId="366F92B2"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 xml:space="preserve">7. </w:t>
      </w:r>
      <w:proofErr w:type="spellStart"/>
      <w:r w:rsidRPr="00DC1513">
        <w:rPr>
          <w:rFonts w:eastAsia="Calibri"/>
          <w:sz w:val="24"/>
          <w:szCs w:val="24"/>
          <w:lang w:val="es-PE"/>
        </w:rPr>
        <w:t>Imhof</w:t>
      </w:r>
      <w:proofErr w:type="spellEnd"/>
      <w:r w:rsidRPr="00DC1513">
        <w:rPr>
          <w:rFonts w:eastAsia="Calibri"/>
          <w:sz w:val="24"/>
          <w:szCs w:val="24"/>
          <w:lang w:val="es-PE"/>
        </w:rPr>
        <w:t xml:space="preserve">, H. K., Schmid, J., </w:t>
      </w:r>
      <w:proofErr w:type="spellStart"/>
      <w:r w:rsidRPr="00DC1513">
        <w:rPr>
          <w:rFonts w:eastAsia="Calibri"/>
          <w:sz w:val="24"/>
          <w:szCs w:val="24"/>
          <w:lang w:val="es-PE"/>
        </w:rPr>
        <w:t>Niessner</w:t>
      </w:r>
      <w:proofErr w:type="spellEnd"/>
      <w:r w:rsidRPr="00DC1513">
        <w:rPr>
          <w:rFonts w:eastAsia="Calibri"/>
          <w:sz w:val="24"/>
          <w:szCs w:val="24"/>
          <w:lang w:val="es-PE"/>
        </w:rPr>
        <w:t xml:space="preserve">, R., </w:t>
      </w:r>
      <w:proofErr w:type="spellStart"/>
      <w:r w:rsidRPr="00DC1513">
        <w:rPr>
          <w:rFonts w:eastAsia="Calibri"/>
          <w:sz w:val="24"/>
          <w:szCs w:val="24"/>
          <w:lang w:val="es-PE"/>
        </w:rPr>
        <w:t>Ivleva</w:t>
      </w:r>
      <w:proofErr w:type="spellEnd"/>
      <w:r w:rsidRPr="00DC1513">
        <w:rPr>
          <w:rFonts w:eastAsia="Calibri"/>
          <w:sz w:val="24"/>
          <w:szCs w:val="24"/>
          <w:lang w:val="es-PE"/>
        </w:rPr>
        <w:t xml:space="preserve">, N. P., &amp; </w:t>
      </w:r>
      <w:proofErr w:type="spellStart"/>
      <w:r w:rsidRPr="00DC1513">
        <w:rPr>
          <w:rFonts w:eastAsia="Calibri"/>
          <w:sz w:val="24"/>
          <w:szCs w:val="24"/>
          <w:lang w:val="es-PE"/>
        </w:rPr>
        <w:t>Laforsch</w:t>
      </w:r>
      <w:proofErr w:type="spellEnd"/>
      <w:r w:rsidRPr="00DC1513">
        <w:rPr>
          <w:rFonts w:eastAsia="Calibri"/>
          <w:sz w:val="24"/>
          <w:szCs w:val="24"/>
          <w:lang w:val="es-PE"/>
        </w:rPr>
        <w:t xml:space="preserve">, C. (2012). *A novel, </w:t>
      </w:r>
      <w:proofErr w:type="spellStart"/>
      <w:r w:rsidRPr="00DC1513">
        <w:rPr>
          <w:rFonts w:eastAsia="Calibri"/>
          <w:sz w:val="24"/>
          <w:szCs w:val="24"/>
          <w:lang w:val="es-PE"/>
        </w:rPr>
        <w:t>highly</w:t>
      </w:r>
      <w:proofErr w:type="spellEnd"/>
      <w:r w:rsidRPr="00DC1513">
        <w:rPr>
          <w:rFonts w:eastAsia="Calibri"/>
          <w:sz w:val="24"/>
          <w:szCs w:val="24"/>
          <w:lang w:val="es-PE"/>
        </w:rPr>
        <w:t xml:space="preserve"> </w:t>
      </w:r>
      <w:proofErr w:type="spellStart"/>
      <w:r w:rsidRPr="00DC1513">
        <w:rPr>
          <w:rFonts w:eastAsia="Calibri"/>
          <w:sz w:val="24"/>
          <w:szCs w:val="24"/>
          <w:lang w:val="es-PE"/>
        </w:rPr>
        <w:t>efficient</w:t>
      </w:r>
      <w:proofErr w:type="spellEnd"/>
      <w:r w:rsidRPr="00DC1513">
        <w:rPr>
          <w:rFonts w:eastAsia="Calibri"/>
          <w:sz w:val="24"/>
          <w:szCs w:val="24"/>
          <w:lang w:val="es-PE"/>
        </w:rPr>
        <w:t xml:space="preserve"> </w:t>
      </w:r>
      <w:proofErr w:type="spellStart"/>
      <w:r w:rsidRPr="00DC1513">
        <w:rPr>
          <w:rFonts w:eastAsia="Calibri"/>
          <w:sz w:val="24"/>
          <w:szCs w:val="24"/>
          <w:lang w:val="es-PE"/>
        </w:rPr>
        <w:t>method</w:t>
      </w:r>
      <w:proofErr w:type="spellEnd"/>
      <w:r w:rsidRPr="00DC1513">
        <w:rPr>
          <w:rFonts w:eastAsia="Calibri"/>
          <w:sz w:val="24"/>
          <w:szCs w:val="24"/>
          <w:lang w:val="es-PE"/>
        </w:rPr>
        <w:t xml:space="preserve"> </w:t>
      </w:r>
      <w:proofErr w:type="spellStart"/>
      <w:r w:rsidRPr="00DC1513">
        <w:rPr>
          <w:rFonts w:eastAsia="Calibri"/>
          <w:sz w:val="24"/>
          <w:szCs w:val="24"/>
          <w:lang w:val="es-PE"/>
        </w:rPr>
        <w:t>for</w:t>
      </w:r>
      <w:proofErr w:type="spellEnd"/>
      <w:r w:rsidRPr="00DC1513">
        <w:rPr>
          <w:rFonts w:eastAsia="Calibri"/>
          <w:sz w:val="24"/>
          <w:szCs w:val="24"/>
          <w:lang w:val="es-PE"/>
        </w:rPr>
        <w:t xml:space="preserve"> </w:t>
      </w:r>
      <w:proofErr w:type="spellStart"/>
      <w:r w:rsidRPr="00DC1513">
        <w:rPr>
          <w:rFonts w:eastAsia="Calibri"/>
          <w:sz w:val="24"/>
          <w:szCs w:val="24"/>
          <w:lang w:val="es-PE"/>
        </w:rPr>
        <w:t>the</w:t>
      </w:r>
      <w:proofErr w:type="spellEnd"/>
      <w:r w:rsidRPr="00DC1513">
        <w:rPr>
          <w:rFonts w:eastAsia="Calibri"/>
          <w:sz w:val="24"/>
          <w:szCs w:val="24"/>
          <w:lang w:val="es-PE"/>
        </w:rPr>
        <w:t xml:space="preserve"> </w:t>
      </w:r>
      <w:proofErr w:type="spellStart"/>
      <w:r w:rsidRPr="00DC1513">
        <w:rPr>
          <w:rFonts w:eastAsia="Calibri"/>
          <w:sz w:val="24"/>
          <w:szCs w:val="24"/>
          <w:lang w:val="es-PE"/>
        </w:rPr>
        <w:t>separation</w:t>
      </w:r>
      <w:proofErr w:type="spellEnd"/>
      <w:r w:rsidRPr="00DC1513">
        <w:rPr>
          <w:rFonts w:eastAsia="Calibri"/>
          <w:sz w:val="24"/>
          <w:szCs w:val="24"/>
          <w:lang w:val="es-PE"/>
        </w:rPr>
        <w:t xml:space="preserve"> and </w:t>
      </w:r>
      <w:proofErr w:type="spellStart"/>
      <w:r w:rsidRPr="00DC1513">
        <w:rPr>
          <w:rFonts w:eastAsia="Calibri"/>
          <w:sz w:val="24"/>
          <w:szCs w:val="24"/>
          <w:lang w:val="es-PE"/>
        </w:rPr>
        <w:t>quantification</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plastic</w:t>
      </w:r>
      <w:proofErr w:type="spellEnd"/>
      <w:r w:rsidRPr="00DC1513">
        <w:rPr>
          <w:rFonts w:eastAsia="Calibri"/>
          <w:sz w:val="24"/>
          <w:szCs w:val="24"/>
          <w:lang w:val="es-PE"/>
        </w:rPr>
        <w:t xml:space="preserve"> </w:t>
      </w:r>
      <w:proofErr w:type="spellStart"/>
      <w:r w:rsidRPr="00DC1513">
        <w:rPr>
          <w:rFonts w:eastAsia="Calibri"/>
          <w:sz w:val="24"/>
          <w:szCs w:val="24"/>
          <w:lang w:val="es-PE"/>
        </w:rPr>
        <w:t>particles</w:t>
      </w:r>
      <w:proofErr w:type="spellEnd"/>
      <w:r w:rsidRPr="00DC1513">
        <w:rPr>
          <w:rFonts w:eastAsia="Calibri"/>
          <w:sz w:val="24"/>
          <w:szCs w:val="24"/>
          <w:lang w:val="es-PE"/>
        </w:rPr>
        <w:t xml:space="preserve"> in </w:t>
      </w:r>
      <w:proofErr w:type="spellStart"/>
      <w:r w:rsidRPr="00DC1513">
        <w:rPr>
          <w:rFonts w:eastAsia="Calibri"/>
          <w:sz w:val="24"/>
          <w:szCs w:val="24"/>
          <w:lang w:val="es-PE"/>
        </w:rPr>
        <w:t>sediments</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aquatic</w:t>
      </w:r>
      <w:proofErr w:type="spellEnd"/>
      <w:r w:rsidRPr="00DC1513">
        <w:rPr>
          <w:rFonts w:eastAsia="Calibri"/>
          <w:sz w:val="24"/>
          <w:szCs w:val="24"/>
          <w:lang w:val="es-PE"/>
        </w:rPr>
        <w:t xml:space="preserve"> </w:t>
      </w:r>
      <w:proofErr w:type="spellStart"/>
      <w:r w:rsidRPr="00DC1513">
        <w:rPr>
          <w:rFonts w:eastAsia="Calibri"/>
          <w:sz w:val="24"/>
          <w:szCs w:val="24"/>
          <w:lang w:val="es-PE"/>
        </w:rPr>
        <w:t>environments</w:t>
      </w:r>
      <w:proofErr w:type="spellEnd"/>
      <w:r w:rsidRPr="00DC1513">
        <w:rPr>
          <w:rFonts w:eastAsia="Calibri"/>
          <w:sz w:val="24"/>
          <w:szCs w:val="24"/>
          <w:lang w:val="es-PE"/>
        </w:rPr>
        <w:t xml:space="preserve">*. </w:t>
      </w:r>
      <w:proofErr w:type="spellStart"/>
      <w:r w:rsidRPr="00DC1513">
        <w:rPr>
          <w:rFonts w:eastAsia="Calibri"/>
          <w:sz w:val="24"/>
          <w:szCs w:val="24"/>
          <w:lang w:val="es-PE"/>
        </w:rPr>
        <w:t>Limnology</w:t>
      </w:r>
      <w:proofErr w:type="spellEnd"/>
      <w:r w:rsidRPr="00DC1513">
        <w:rPr>
          <w:rFonts w:eastAsia="Calibri"/>
          <w:sz w:val="24"/>
          <w:szCs w:val="24"/>
          <w:lang w:val="es-PE"/>
        </w:rPr>
        <w:t xml:space="preserve"> and </w:t>
      </w:r>
      <w:proofErr w:type="spellStart"/>
      <w:r w:rsidRPr="00DC1513">
        <w:rPr>
          <w:rFonts w:eastAsia="Calibri"/>
          <w:sz w:val="24"/>
          <w:szCs w:val="24"/>
          <w:lang w:val="es-PE"/>
        </w:rPr>
        <w:t>Oceanography</w:t>
      </w:r>
      <w:proofErr w:type="spellEnd"/>
      <w:r w:rsidRPr="00DC1513">
        <w:rPr>
          <w:rFonts w:eastAsia="Calibri"/>
          <w:sz w:val="24"/>
          <w:szCs w:val="24"/>
          <w:lang w:val="es-PE"/>
        </w:rPr>
        <w:t xml:space="preserve">: </w:t>
      </w:r>
      <w:proofErr w:type="spellStart"/>
      <w:r w:rsidRPr="00DC1513">
        <w:rPr>
          <w:rFonts w:eastAsia="Calibri"/>
          <w:sz w:val="24"/>
          <w:szCs w:val="24"/>
          <w:lang w:val="es-PE"/>
        </w:rPr>
        <w:t>Methods</w:t>
      </w:r>
      <w:proofErr w:type="spellEnd"/>
      <w:r w:rsidRPr="00DC1513">
        <w:rPr>
          <w:rFonts w:eastAsia="Calibri"/>
          <w:sz w:val="24"/>
          <w:szCs w:val="24"/>
          <w:lang w:val="es-PE"/>
        </w:rPr>
        <w:t>, 10(7), 524–537. [https://doi.org/10.4319/lom.2012.10.524](https://doi.org/10.4319/lom.2012.10.524)</w:t>
      </w:r>
    </w:p>
    <w:p w14:paraId="715B826A" w14:textId="77777777" w:rsidR="00DC1513" w:rsidRPr="00DC1513" w:rsidRDefault="00DC1513" w:rsidP="00DC1513">
      <w:pPr>
        <w:pStyle w:val="Els-body-text"/>
        <w:spacing w:line="276" w:lineRule="auto"/>
        <w:ind w:firstLine="720"/>
        <w:rPr>
          <w:rFonts w:eastAsia="Calibri"/>
          <w:sz w:val="24"/>
          <w:szCs w:val="24"/>
          <w:lang w:val="es-PE"/>
        </w:rPr>
      </w:pPr>
    </w:p>
    <w:p w14:paraId="5EA70ED9"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 xml:space="preserve">8. UNEP. (2016). *Marine </w:t>
      </w:r>
      <w:proofErr w:type="spellStart"/>
      <w:r w:rsidRPr="00DC1513">
        <w:rPr>
          <w:rFonts w:eastAsia="Calibri"/>
          <w:sz w:val="24"/>
          <w:szCs w:val="24"/>
          <w:lang w:val="es-PE"/>
        </w:rPr>
        <w:t>plastic</w:t>
      </w:r>
      <w:proofErr w:type="spellEnd"/>
      <w:r w:rsidRPr="00DC1513">
        <w:rPr>
          <w:rFonts w:eastAsia="Calibri"/>
          <w:sz w:val="24"/>
          <w:szCs w:val="24"/>
          <w:lang w:val="es-PE"/>
        </w:rPr>
        <w:t xml:space="preserve"> </w:t>
      </w:r>
      <w:proofErr w:type="spellStart"/>
      <w:r w:rsidRPr="00DC1513">
        <w:rPr>
          <w:rFonts w:eastAsia="Calibri"/>
          <w:sz w:val="24"/>
          <w:szCs w:val="24"/>
          <w:lang w:val="es-PE"/>
        </w:rPr>
        <w:t>debris</w:t>
      </w:r>
      <w:proofErr w:type="spellEnd"/>
      <w:r w:rsidRPr="00DC1513">
        <w:rPr>
          <w:rFonts w:eastAsia="Calibri"/>
          <w:sz w:val="24"/>
          <w:szCs w:val="24"/>
          <w:lang w:val="es-PE"/>
        </w:rPr>
        <w:t xml:space="preserve"> and </w:t>
      </w:r>
      <w:proofErr w:type="spellStart"/>
      <w:r w:rsidRPr="00DC1513">
        <w:rPr>
          <w:rFonts w:eastAsia="Calibri"/>
          <w:sz w:val="24"/>
          <w:szCs w:val="24"/>
          <w:lang w:val="es-PE"/>
        </w:rPr>
        <w:t>microplastics</w:t>
      </w:r>
      <w:proofErr w:type="spellEnd"/>
      <w:r w:rsidRPr="00DC1513">
        <w:rPr>
          <w:rFonts w:eastAsia="Calibri"/>
          <w:sz w:val="24"/>
          <w:szCs w:val="24"/>
          <w:lang w:val="es-PE"/>
        </w:rPr>
        <w:t xml:space="preserve">: Global </w:t>
      </w:r>
      <w:proofErr w:type="spellStart"/>
      <w:r w:rsidRPr="00DC1513">
        <w:rPr>
          <w:rFonts w:eastAsia="Calibri"/>
          <w:sz w:val="24"/>
          <w:szCs w:val="24"/>
          <w:lang w:val="es-PE"/>
        </w:rPr>
        <w:t>lessons</w:t>
      </w:r>
      <w:proofErr w:type="spellEnd"/>
      <w:r w:rsidRPr="00DC1513">
        <w:rPr>
          <w:rFonts w:eastAsia="Calibri"/>
          <w:sz w:val="24"/>
          <w:szCs w:val="24"/>
          <w:lang w:val="es-PE"/>
        </w:rPr>
        <w:t xml:space="preserve"> and </w:t>
      </w:r>
      <w:proofErr w:type="spellStart"/>
      <w:r w:rsidRPr="00DC1513">
        <w:rPr>
          <w:rFonts w:eastAsia="Calibri"/>
          <w:sz w:val="24"/>
          <w:szCs w:val="24"/>
          <w:lang w:val="es-PE"/>
        </w:rPr>
        <w:t>research</w:t>
      </w:r>
      <w:proofErr w:type="spellEnd"/>
      <w:r w:rsidRPr="00DC1513">
        <w:rPr>
          <w:rFonts w:eastAsia="Calibri"/>
          <w:sz w:val="24"/>
          <w:szCs w:val="24"/>
          <w:lang w:val="es-PE"/>
        </w:rPr>
        <w:t xml:space="preserve"> </w:t>
      </w:r>
      <w:proofErr w:type="spellStart"/>
      <w:r w:rsidRPr="00DC1513">
        <w:rPr>
          <w:rFonts w:eastAsia="Calibri"/>
          <w:sz w:val="24"/>
          <w:szCs w:val="24"/>
          <w:lang w:val="es-PE"/>
        </w:rPr>
        <w:t>to</w:t>
      </w:r>
      <w:proofErr w:type="spellEnd"/>
      <w:r w:rsidRPr="00DC1513">
        <w:rPr>
          <w:rFonts w:eastAsia="Calibri"/>
          <w:sz w:val="24"/>
          <w:szCs w:val="24"/>
          <w:lang w:val="es-PE"/>
        </w:rPr>
        <w:t xml:space="preserve"> inspire </w:t>
      </w:r>
      <w:proofErr w:type="spellStart"/>
      <w:r w:rsidRPr="00DC1513">
        <w:rPr>
          <w:rFonts w:eastAsia="Calibri"/>
          <w:sz w:val="24"/>
          <w:szCs w:val="24"/>
          <w:lang w:val="es-PE"/>
        </w:rPr>
        <w:t>action</w:t>
      </w:r>
      <w:proofErr w:type="spellEnd"/>
      <w:r w:rsidRPr="00DC1513">
        <w:rPr>
          <w:rFonts w:eastAsia="Calibri"/>
          <w:sz w:val="24"/>
          <w:szCs w:val="24"/>
          <w:lang w:val="es-PE"/>
        </w:rPr>
        <w:t xml:space="preserve"> and guide </w:t>
      </w:r>
      <w:proofErr w:type="spellStart"/>
      <w:r w:rsidRPr="00DC1513">
        <w:rPr>
          <w:rFonts w:eastAsia="Calibri"/>
          <w:sz w:val="24"/>
          <w:szCs w:val="24"/>
          <w:lang w:val="es-PE"/>
        </w:rPr>
        <w:t>policy</w:t>
      </w:r>
      <w:proofErr w:type="spellEnd"/>
      <w:r w:rsidRPr="00DC1513">
        <w:rPr>
          <w:rFonts w:eastAsia="Calibri"/>
          <w:sz w:val="24"/>
          <w:szCs w:val="24"/>
          <w:lang w:val="es-PE"/>
        </w:rPr>
        <w:t xml:space="preserve"> </w:t>
      </w:r>
      <w:proofErr w:type="spellStart"/>
      <w:r w:rsidRPr="00DC1513">
        <w:rPr>
          <w:rFonts w:eastAsia="Calibri"/>
          <w:sz w:val="24"/>
          <w:szCs w:val="24"/>
          <w:lang w:val="es-PE"/>
        </w:rPr>
        <w:t>change</w:t>
      </w:r>
      <w:proofErr w:type="spellEnd"/>
      <w:r w:rsidRPr="00DC1513">
        <w:rPr>
          <w:rFonts w:eastAsia="Calibri"/>
          <w:sz w:val="24"/>
          <w:szCs w:val="24"/>
          <w:lang w:val="es-PE"/>
        </w:rPr>
        <w:t xml:space="preserve">*. </w:t>
      </w:r>
      <w:proofErr w:type="spellStart"/>
      <w:r w:rsidRPr="00DC1513">
        <w:rPr>
          <w:rFonts w:eastAsia="Calibri"/>
          <w:sz w:val="24"/>
          <w:szCs w:val="24"/>
          <w:lang w:val="es-PE"/>
        </w:rPr>
        <w:t>United</w:t>
      </w:r>
      <w:proofErr w:type="spellEnd"/>
      <w:r w:rsidRPr="00DC1513">
        <w:rPr>
          <w:rFonts w:eastAsia="Calibri"/>
          <w:sz w:val="24"/>
          <w:szCs w:val="24"/>
          <w:lang w:val="es-PE"/>
        </w:rPr>
        <w:t xml:space="preserve"> </w:t>
      </w:r>
      <w:proofErr w:type="spellStart"/>
      <w:r w:rsidRPr="00DC1513">
        <w:rPr>
          <w:rFonts w:eastAsia="Calibri"/>
          <w:sz w:val="24"/>
          <w:szCs w:val="24"/>
          <w:lang w:val="es-PE"/>
        </w:rPr>
        <w:t>Nations</w:t>
      </w:r>
      <w:proofErr w:type="spellEnd"/>
      <w:r w:rsidRPr="00DC1513">
        <w:rPr>
          <w:rFonts w:eastAsia="Calibri"/>
          <w:sz w:val="24"/>
          <w:szCs w:val="24"/>
          <w:lang w:val="es-PE"/>
        </w:rPr>
        <w:t xml:space="preserve"> </w:t>
      </w:r>
      <w:proofErr w:type="spellStart"/>
      <w:r w:rsidRPr="00DC1513">
        <w:rPr>
          <w:rFonts w:eastAsia="Calibri"/>
          <w:sz w:val="24"/>
          <w:szCs w:val="24"/>
          <w:lang w:val="es-PE"/>
        </w:rPr>
        <w:t>Environment</w:t>
      </w:r>
      <w:proofErr w:type="spellEnd"/>
      <w:r w:rsidRPr="00DC1513">
        <w:rPr>
          <w:rFonts w:eastAsia="Calibri"/>
          <w:sz w:val="24"/>
          <w:szCs w:val="24"/>
          <w:lang w:val="es-PE"/>
        </w:rPr>
        <w:t xml:space="preserve"> </w:t>
      </w:r>
      <w:proofErr w:type="spellStart"/>
      <w:r w:rsidRPr="00DC1513">
        <w:rPr>
          <w:rFonts w:eastAsia="Calibri"/>
          <w:sz w:val="24"/>
          <w:szCs w:val="24"/>
          <w:lang w:val="es-PE"/>
        </w:rPr>
        <w:t>Programme</w:t>
      </w:r>
      <w:proofErr w:type="spellEnd"/>
      <w:r w:rsidRPr="00DC1513">
        <w:rPr>
          <w:rFonts w:eastAsia="Calibri"/>
          <w:sz w:val="24"/>
          <w:szCs w:val="24"/>
          <w:lang w:val="es-PE"/>
        </w:rPr>
        <w:t xml:space="preserve">. </w:t>
      </w:r>
      <w:r w:rsidRPr="00DC1513">
        <w:rPr>
          <w:rFonts w:eastAsia="Calibri"/>
          <w:sz w:val="24"/>
          <w:szCs w:val="24"/>
          <w:lang w:val="es-PE"/>
        </w:rPr>
        <w:lastRenderedPageBreak/>
        <w:t>[https://www.unep.org/resources/report/marine-plastic-debris-and-microplastics](https://www.unep.org/resources/report/marine-plastic-debris-and-microplastics)</w:t>
      </w:r>
    </w:p>
    <w:p w14:paraId="49F17BDD" w14:textId="77777777" w:rsidR="00DC1513" w:rsidRPr="00DC1513" w:rsidRDefault="00DC1513" w:rsidP="00DC1513">
      <w:pPr>
        <w:pStyle w:val="Els-body-text"/>
        <w:spacing w:line="276" w:lineRule="auto"/>
        <w:ind w:firstLine="720"/>
        <w:rPr>
          <w:rFonts w:eastAsia="Calibri"/>
          <w:sz w:val="24"/>
          <w:szCs w:val="24"/>
          <w:lang w:val="es-PE"/>
        </w:rPr>
      </w:pPr>
    </w:p>
    <w:p w14:paraId="5029AFBE"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9. Zhang, W., Zhang, S., Wang, J., Wang, Y., Mu, J., Wang, P., &amp; Lin, H. (2016). *</w:t>
      </w:r>
      <w:proofErr w:type="spellStart"/>
      <w:r w:rsidRPr="00DC1513">
        <w:rPr>
          <w:rFonts w:eastAsia="Calibri"/>
          <w:sz w:val="24"/>
          <w:szCs w:val="24"/>
          <w:lang w:val="es-PE"/>
        </w:rPr>
        <w:t>Microplastic</w:t>
      </w:r>
      <w:proofErr w:type="spellEnd"/>
      <w:r w:rsidRPr="00DC1513">
        <w:rPr>
          <w:rFonts w:eastAsia="Calibri"/>
          <w:sz w:val="24"/>
          <w:szCs w:val="24"/>
          <w:lang w:val="es-PE"/>
        </w:rPr>
        <w:t xml:space="preserve"> </w:t>
      </w:r>
      <w:proofErr w:type="spellStart"/>
      <w:r w:rsidRPr="00DC1513">
        <w:rPr>
          <w:rFonts w:eastAsia="Calibri"/>
          <w:sz w:val="24"/>
          <w:szCs w:val="24"/>
          <w:lang w:val="es-PE"/>
        </w:rPr>
        <w:t>pollution</w:t>
      </w:r>
      <w:proofErr w:type="spellEnd"/>
      <w:r w:rsidRPr="00DC1513">
        <w:rPr>
          <w:rFonts w:eastAsia="Calibri"/>
          <w:sz w:val="24"/>
          <w:szCs w:val="24"/>
          <w:lang w:val="es-PE"/>
        </w:rPr>
        <w:t xml:space="preserve"> in </w:t>
      </w:r>
      <w:proofErr w:type="spellStart"/>
      <w:r w:rsidRPr="00DC1513">
        <w:rPr>
          <w:rFonts w:eastAsia="Calibri"/>
          <w:sz w:val="24"/>
          <w:szCs w:val="24"/>
          <w:lang w:val="es-PE"/>
        </w:rPr>
        <w:t>the</w:t>
      </w:r>
      <w:proofErr w:type="spellEnd"/>
      <w:r w:rsidRPr="00DC1513">
        <w:rPr>
          <w:rFonts w:eastAsia="Calibri"/>
          <w:sz w:val="24"/>
          <w:szCs w:val="24"/>
          <w:lang w:val="es-PE"/>
        </w:rPr>
        <w:t xml:space="preserve"> </w:t>
      </w:r>
      <w:proofErr w:type="spellStart"/>
      <w:r w:rsidRPr="00DC1513">
        <w:rPr>
          <w:rFonts w:eastAsia="Calibri"/>
          <w:sz w:val="24"/>
          <w:szCs w:val="24"/>
          <w:lang w:val="es-PE"/>
        </w:rPr>
        <w:t>surface</w:t>
      </w:r>
      <w:proofErr w:type="spellEnd"/>
      <w:r w:rsidRPr="00DC1513">
        <w:rPr>
          <w:rFonts w:eastAsia="Calibri"/>
          <w:sz w:val="24"/>
          <w:szCs w:val="24"/>
          <w:lang w:val="es-PE"/>
        </w:rPr>
        <w:t xml:space="preserve"> </w:t>
      </w:r>
      <w:proofErr w:type="spellStart"/>
      <w:r w:rsidRPr="00DC1513">
        <w:rPr>
          <w:rFonts w:eastAsia="Calibri"/>
          <w:sz w:val="24"/>
          <w:szCs w:val="24"/>
          <w:lang w:val="es-PE"/>
        </w:rPr>
        <w:t>waters</w:t>
      </w:r>
      <w:proofErr w:type="spellEnd"/>
      <w:r w:rsidRPr="00DC1513">
        <w:rPr>
          <w:rFonts w:eastAsia="Calibri"/>
          <w:sz w:val="24"/>
          <w:szCs w:val="24"/>
          <w:lang w:val="es-PE"/>
        </w:rPr>
        <w:t xml:space="preserve"> </w:t>
      </w:r>
      <w:proofErr w:type="spellStart"/>
      <w:r w:rsidRPr="00DC1513">
        <w:rPr>
          <w:rFonts w:eastAsia="Calibri"/>
          <w:sz w:val="24"/>
          <w:szCs w:val="24"/>
          <w:lang w:val="es-PE"/>
        </w:rPr>
        <w:t>of</w:t>
      </w:r>
      <w:proofErr w:type="spellEnd"/>
      <w:r w:rsidRPr="00DC1513">
        <w:rPr>
          <w:rFonts w:eastAsia="Calibri"/>
          <w:sz w:val="24"/>
          <w:szCs w:val="24"/>
          <w:lang w:val="es-PE"/>
        </w:rPr>
        <w:t xml:space="preserve"> </w:t>
      </w:r>
      <w:proofErr w:type="spellStart"/>
      <w:r w:rsidRPr="00DC1513">
        <w:rPr>
          <w:rFonts w:eastAsia="Calibri"/>
          <w:sz w:val="24"/>
          <w:szCs w:val="24"/>
          <w:lang w:val="es-PE"/>
        </w:rPr>
        <w:t>the</w:t>
      </w:r>
      <w:proofErr w:type="spellEnd"/>
      <w:r w:rsidRPr="00DC1513">
        <w:rPr>
          <w:rFonts w:eastAsia="Calibri"/>
          <w:sz w:val="24"/>
          <w:szCs w:val="24"/>
          <w:lang w:val="es-PE"/>
        </w:rPr>
        <w:t xml:space="preserve"> </w:t>
      </w:r>
      <w:proofErr w:type="spellStart"/>
      <w:r w:rsidRPr="00DC1513">
        <w:rPr>
          <w:rFonts w:eastAsia="Calibri"/>
          <w:sz w:val="24"/>
          <w:szCs w:val="24"/>
          <w:lang w:val="es-PE"/>
        </w:rPr>
        <w:t>Bohai</w:t>
      </w:r>
      <w:proofErr w:type="spellEnd"/>
      <w:r w:rsidRPr="00DC1513">
        <w:rPr>
          <w:rFonts w:eastAsia="Calibri"/>
          <w:sz w:val="24"/>
          <w:szCs w:val="24"/>
          <w:lang w:val="es-PE"/>
        </w:rPr>
        <w:t xml:space="preserve"> Sea, China*. </w:t>
      </w:r>
      <w:proofErr w:type="spellStart"/>
      <w:r w:rsidRPr="00DC1513">
        <w:rPr>
          <w:rFonts w:eastAsia="Calibri"/>
          <w:sz w:val="24"/>
          <w:szCs w:val="24"/>
          <w:lang w:val="es-PE"/>
        </w:rPr>
        <w:t>Environmental</w:t>
      </w:r>
      <w:proofErr w:type="spellEnd"/>
      <w:r w:rsidRPr="00DC1513">
        <w:rPr>
          <w:rFonts w:eastAsia="Calibri"/>
          <w:sz w:val="24"/>
          <w:szCs w:val="24"/>
          <w:lang w:val="es-PE"/>
        </w:rPr>
        <w:t xml:space="preserve"> </w:t>
      </w:r>
      <w:proofErr w:type="spellStart"/>
      <w:r w:rsidRPr="00DC1513">
        <w:rPr>
          <w:rFonts w:eastAsia="Calibri"/>
          <w:sz w:val="24"/>
          <w:szCs w:val="24"/>
          <w:lang w:val="es-PE"/>
        </w:rPr>
        <w:t>Pollution</w:t>
      </w:r>
      <w:proofErr w:type="spellEnd"/>
      <w:r w:rsidRPr="00DC1513">
        <w:rPr>
          <w:rFonts w:eastAsia="Calibri"/>
          <w:sz w:val="24"/>
          <w:szCs w:val="24"/>
          <w:lang w:val="es-PE"/>
        </w:rPr>
        <w:t>, 213, 365–373. [https://doi.org/10.1016/j.envpol.2016.03.042](https://doi.org/10.1016/j.envpol.2016.03.042)</w:t>
      </w:r>
    </w:p>
    <w:p w14:paraId="6A47D96C" w14:textId="77777777" w:rsidR="00DC1513" w:rsidRPr="00DC1513" w:rsidRDefault="00DC1513" w:rsidP="00DC1513">
      <w:pPr>
        <w:pStyle w:val="Els-body-text"/>
        <w:spacing w:line="276" w:lineRule="auto"/>
        <w:ind w:firstLine="720"/>
        <w:rPr>
          <w:rFonts w:eastAsia="Calibri"/>
          <w:sz w:val="24"/>
          <w:szCs w:val="24"/>
          <w:lang w:val="es-PE"/>
        </w:rPr>
      </w:pPr>
    </w:p>
    <w:p w14:paraId="616CF66C" w14:textId="77777777" w:rsidR="00DC1513" w:rsidRPr="00DC1513" w:rsidRDefault="00DC1513" w:rsidP="00DC1513">
      <w:pPr>
        <w:pStyle w:val="Els-body-text"/>
        <w:spacing w:line="276" w:lineRule="auto"/>
        <w:ind w:firstLine="720"/>
        <w:rPr>
          <w:rFonts w:eastAsia="Calibri"/>
          <w:sz w:val="24"/>
          <w:szCs w:val="24"/>
          <w:lang w:val="es-PE"/>
        </w:rPr>
      </w:pPr>
      <w:r w:rsidRPr="00DC1513">
        <w:rPr>
          <w:rFonts w:eastAsia="Calibri"/>
          <w:sz w:val="24"/>
          <w:szCs w:val="24"/>
          <w:lang w:val="es-PE"/>
        </w:rPr>
        <w:t>10. Wagner, M., &amp; Lambert, S. (Eds.). (2018). *</w:t>
      </w:r>
      <w:proofErr w:type="spellStart"/>
      <w:r w:rsidRPr="00DC1513">
        <w:rPr>
          <w:rFonts w:eastAsia="Calibri"/>
          <w:sz w:val="24"/>
          <w:szCs w:val="24"/>
          <w:lang w:val="es-PE"/>
        </w:rPr>
        <w:t>Freshwater</w:t>
      </w:r>
      <w:proofErr w:type="spellEnd"/>
      <w:r w:rsidRPr="00DC1513">
        <w:rPr>
          <w:rFonts w:eastAsia="Calibri"/>
          <w:sz w:val="24"/>
          <w:szCs w:val="24"/>
          <w:lang w:val="es-PE"/>
        </w:rPr>
        <w:t xml:space="preserve"> </w:t>
      </w:r>
      <w:proofErr w:type="spellStart"/>
      <w:r w:rsidRPr="00DC1513">
        <w:rPr>
          <w:rFonts w:eastAsia="Calibri"/>
          <w:sz w:val="24"/>
          <w:szCs w:val="24"/>
          <w:lang w:val="es-PE"/>
        </w:rPr>
        <w:t>microplastics</w:t>
      </w:r>
      <w:proofErr w:type="spellEnd"/>
      <w:r w:rsidRPr="00DC1513">
        <w:rPr>
          <w:rFonts w:eastAsia="Calibri"/>
          <w:sz w:val="24"/>
          <w:szCs w:val="24"/>
          <w:lang w:val="es-PE"/>
        </w:rPr>
        <w:t xml:space="preserve">: </w:t>
      </w:r>
      <w:proofErr w:type="spellStart"/>
      <w:r w:rsidRPr="00DC1513">
        <w:rPr>
          <w:rFonts w:eastAsia="Calibri"/>
          <w:sz w:val="24"/>
          <w:szCs w:val="24"/>
          <w:lang w:val="es-PE"/>
        </w:rPr>
        <w:t>Emerging</w:t>
      </w:r>
      <w:proofErr w:type="spellEnd"/>
      <w:r w:rsidRPr="00DC1513">
        <w:rPr>
          <w:rFonts w:eastAsia="Calibri"/>
          <w:sz w:val="24"/>
          <w:szCs w:val="24"/>
          <w:lang w:val="es-PE"/>
        </w:rPr>
        <w:t xml:space="preserve"> </w:t>
      </w:r>
      <w:proofErr w:type="spellStart"/>
      <w:r w:rsidRPr="00DC1513">
        <w:rPr>
          <w:rFonts w:eastAsia="Calibri"/>
          <w:sz w:val="24"/>
          <w:szCs w:val="24"/>
          <w:lang w:val="es-PE"/>
        </w:rPr>
        <w:t>environmental</w:t>
      </w:r>
      <w:proofErr w:type="spellEnd"/>
      <w:r w:rsidRPr="00DC1513">
        <w:rPr>
          <w:rFonts w:eastAsia="Calibri"/>
          <w:sz w:val="24"/>
          <w:szCs w:val="24"/>
          <w:lang w:val="es-PE"/>
        </w:rPr>
        <w:t xml:space="preserve"> </w:t>
      </w:r>
      <w:proofErr w:type="spellStart"/>
      <w:proofErr w:type="gramStart"/>
      <w:r w:rsidRPr="00DC1513">
        <w:rPr>
          <w:rFonts w:eastAsia="Calibri"/>
          <w:sz w:val="24"/>
          <w:szCs w:val="24"/>
          <w:lang w:val="es-PE"/>
        </w:rPr>
        <w:t>contaminants</w:t>
      </w:r>
      <w:proofErr w:type="spellEnd"/>
      <w:r w:rsidRPr="00DC1513">
        <w:rPr>
          <w:rFonts w:eastAsia="Calibri"/>
          <w:sz w:val="24"/>
          <w:szCs w:val="24"/>
          <w:lang w:val="es-PE"/>
        </w:rPr>
        <w:t>?*</w:t>
      </w:r>
      <w:proofErr w:type="gramEnd"/>
      <w:r w:rsidRPr="00DC1513">
        <w:rPr>
          <w:rFonts w:eastAsia="Calibri"/>
          <w:sz w:val="24"/>
          <w:szCs w:val="24"/>
          <w:lang w:val="es-PE"/>
        </w:rPr>
        <w:t xml:space="preserve"> Springer. [https://doi.org/10.1007/978-3-319-61615-5](https://doi.org/10.1007/978-3-319-61615-5)</w:t>
      </w:r>
    </w:p>
    <w:p w14:paraId="2C36868B" w14:textId="77777777" w:rsidR="00DC1513" w:rsidRPr="00DC1513" w:rsidRDefault="00DC1513" w:rsidP="00DC1513">
      <w:pPr>
        <w:pStyle w:val="Els-body-text"/>
        <w:spacing w:line="276" w:lineRule="auto"/>
        <w:ind w:firstLine="720"/>
        <w:rPr>
          <w:rFonts w:eastAsia="Calibri"/>
          <w:sz w:val="24"/>
          <w:szCs w:val="24"/>
          <w:lang w:val="es-PE"/>
        </w:rPr>
      </w:pPr>
    </w:p>
    <w:p w14:paraId="4E4A752E" w14:textId="4189F2AA" w:rsidR="00DE76AA" w:rsidRPr="00DC1513" w:rsidRDefault="00DE76AA" w:rsidP="00DC1513">
      <w:pPr>
        <w:pStyle w:val="Els-body-text"/>
        <w:spacing w:line="276" w:lineRule="auto"/>
        <w:ind w:firstLine="0"/>
        <w:rPr>
          <w:rFonts w:eastAsia="Calibri"/>
          <w:sz w:val="24"/>
          <w:szCs w:val="24"/>
          <w:lang w:val="es-PE"/>
        </w:rPr>
      </w:pPr>
    </w:p>
    <w:sectPr w:rsidR="00DE76AA" w:rsidRPr="00DC1513">
      <w:headerReference w:type="even" r:id="rId13"/>
      <w:headerReference w:type="default" r:id="rId14"/>
      <w:footerReference w:type="even" r:id="rId15"/>
      <w:footerReference w:type="default" r:id="rId16"/>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AEAB5" w14:textId="77777777" w:rsidR="00BE6E1A" w:rsidRDefault="00BE6E1A">
      <w:r>
        <w:separator/>
      </w:r>
    </w:p>
  </w:endnote>
  <w:endnote w:type="continuationSeparator" w:id="0">
    <w:p w14:paraId="57D45E22" w14:textId="77777777" w:rsidR="00BE6E1A" w:rsidRDefault="00BE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embedRegular r:id="rId1" w:fontKey="{E83C7E4B-B786-4E2F-B604-E5A57475337A}"/>
    <w:embedItalic r:id="rId2" w:fontKey="{35165B48-072D-4A9A-B372-730D1C09EE5A}"/>
    <w:embedBoldItalic r:id="rId3" w:fontKey="{B0F83152-6D9F-454F-9799-879DD5459EAB}"/>
  </w:font>
  <w:font w:name="Helvetica">
    <w:panose1 w:val="020B0604020202020204"/>
    <w:charset w:val="00"/>
    <w:family w:val="swiss"/>
    <w:pitch w:val="variable"/>
    <w:sig w:usb0="E0002EFF" w:usb1="C000785B" w:usb2="00000009" w:usb3="00000000" w:csb0="000001FF" w:csb1="00000000"/>
    <w:embedBold r:id="rId4" w:fontKey="{DA538B8B-17A0-437E-A0BE-29C039E01D21}"/>
  </w:font>
  <w:font w:name="Univers">
    <w:altName w:val="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5" w:fontKey="{9BA32692-8A45-4EAB-B3D0-2B3591E9F8C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537AE14-7C7F-42AD-A50D-D6D8BD5CF499}"/>
    <w:embedBold r:id="rId7" w:fontKey="{41634DF8-2D42-413E-B0DB-18662082F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E053" w14:textId="77777777" w:rsidR="00DE76AA" w:rsidRDefault="00BE6E1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6</w:t>
    </w:r>
    <w:r>
      <w:rPr>
        <w:rStyle w:val="Nmerodepgina"/>
      </w:rPr>
      <w:fldChar w:fldCharType="end"/>
    </w:r>
  </w:p>
  <w:p w14:paraId="63AB905D" w14:textId="77777777" w:rsidR="00DE76AA" w:rsidRDefault="00DE76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14B2" w14:textId="77777777" w:rsidR="00DE76AA" w:rsidRDefault="00BE6E1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5</w:t>
    </w:r>
    <w:r>
      <w:rPr>
        <w:rStyle w:val="Nmerodepgina"/>
      </w:rPr>
      <w:fldChar w:fldCharType="end"/>
    </w:r>
  </w:p>
  <w:p w14:paraId="01BCD838" w14:textId="77777777" w:rsidR="00DE76AA" w:rsidRDefault="00DE76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D13F2" w14:textId="77777777" w:rsidR="00BE6E1A" w:rsidRDefault="00BE6E1A">
      <w:r>
        <w:separator/>
      </w:r>
    </w:p>
  </w:footnote>
  <w:footnote w:type="continuationSeparator" w:id="0">
    <w:p w14:paraId="0A0850D4" w14:textId="77777777" w:rsidR="00BE6E1A" w:rsidRDefault="00BE6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FB3B" w14:textId="77777777" w:rsidR="00DE76AA" w:rsidRDefault="00BE6E1A">
    <w:pPr>
      <w:pStyle w:val="Encabezado"/>
      <w:tabs>
        <w:tab w:val="center" w:pos="4920"/>
      </w:tabs>
      <w:rPr>
        <w:lang w:val="es-PE"/>
      </w:rPr>
    </w:pPr>
    <w:r>
      <w:tab/>
    </w:r>
    <w:r>
      <w:fldChar w:fldCharType="begin"/>
    </w:r>
    <w:r>
      <w:rPr>
        <w:lang w:val="es-PE"/>
      </w:rPr>
      <w:instrText xml:space="preserve"> MACROBUTTON NoMacro Author name </w:instrText>
    </w:r>
    <w:r>
      <w:fldChar w:fldCharType="end"/>
    </w:r>
    <w:r>
      <w:rPr>
        <w:lang w:val="es-PE"/>
      </w:rPr>
      <w:t>/EP. Ingeniería Ambiental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1FFC" w14:textId="77777777" w:rsidR="00DE76AA" w:rsidRDefault="00BE6E1A">
    <w:pPr>
      <w:pStyle w:val="Encabezado"/>
      <w:tabs>
        <w:tab w:val="center" w:pos="4920"/>
      </w:tabs>
      <w:rPr>
        <w:lang w:val="es-PE"/>
      </w:rPr>
    </w:pPr>
    <w:r>
      <w:tab/>
    </w:r>
    <w:r>
      <w:fldChar w:fldCharType="begin"/>
    </w:r>
    <w:r>
      <w:rPr>
        <w:lang w:val="es-PE"/>
      </w:rPr>
      <w:instrText xml:space="preserve"> MACROBUTTON NoMacro Author name </w:instrText>
    </w:r>
    <w:r>
      <w:fldChar w:fldCharType="end"/>
    </w:r>
    <w:r>
      <w:rPr>
        <w:lang w:val="es-PE"/>
      </w:rPr>
      <w:t>/ DGI – Revista de Investigación Universitaria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0000001"/>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0000002"/>
    <w:multiLevelType w:val="multilevel"/>
    <w:tmpl w:val="988219DE"/>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3" w15:restartNumberingAfterBreak="0">
    <w:nsid w:val="00000003"/>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4" w15:restartNumberingAfterBreak="0">
    <w:nsid w:val="00000004"/>
    <w:multiLevelType w:val="multilevel"/>
    <w:tmpl w:val="A282E7EA"/>
    <w:lvl w:ilvl="0">
      <w:start w:val="1"/>
      <w:numFmt w:val="decimal"/>
      <w:pStyle w:val="Els-numlist"/>
      <w:lvlText w:val="%1."/>
      <w:lvlJc w:val="left"/>
      <w:pPr>
        <w:tabs>
          <w:tab w:val="left" w:pos="360"/>
        </w:tabs>
        <w:ind w:left="240" w:hanging="240"/>
      </w:pPr>
    </w:lvl>
    <w:lvl w:ilvl="1">
      <w:start w:val="1"/>
      <w:numFmt w:val="decimal"/>
      <w:lvlText w:val="%1.%2."/>
      <w:lvlJc w:val="left"/>
      <w:pPr>
        <w:tabs>
          <w:tab w:val="left" w:pos="600"/>
        </w:tabs>
        <w:ind w:left="480" w:hanging="240"/>
      </w:pPr>
    </w:lvl>
    <w:lvl w:ilvl="2">
      <w:start w:val="1"/>
      <w:numFmt w:val="decimal"/>
      <w:lvlText w:val="%1.%2.%3."/>
      <w:lvlJc w:val="left"/>
      <w:pPr>
        <w:tabs>
          <w:tab w:val="left" w:pos="840"/>
        </w:tabs>
        <w:ind w:left="720" w:hanging="240"/>
      </w:pPr>
    </w:lvl>
    <w:lvl w:ilvl="3">
      <w:start w:val="1"/>
      <w:numFmt w:val="decimal"/>
      <w:lvlText w:val="%1.%2.%3.%4."/>
      <w:lvlJc w:val="left"/>
      <w:pPr>
        <w:tabs>
          <w:tab w:val="left" w:pos="1080"/>
        </w:tabs>
        <w:ind w:left="960" w:hanging="240"/>
      </w:pPr>
    </w:lvl>
    <w:lvl w:ilvl="4">
      <w:start w:val="1"/>
      <w:numFmt w:val="decimal"/>
      <w:lvlText w:val="%1.%2.%3.%4.%5."/>
      <w:lvlJc w:val="left"/>
      <w:pPr>
        <w:tabs>
          <w:tab w:val="left" w:pos="1320"/>
        </w:tabs>
        <w:ind w:left="1200" w:hanging="240"/>
      </w:pPr>
    </w:lvl>
    <w:lvl w:ilvl="5">
      <w:start w:val="1"/>
      <w:numFmt w:val="decimal"/>
      <w:lvlText w:val="%1.%2.%3.%4.%5.%6."/>
      <w:lvlJc w:val="left"/>
      <w:pPr>
        <w:tabs>
          <w:tab w:val="left" w:pos="1560"/>
        </w:tabs>
        <w:ind w:left="1440" w:hanging="240"/>
      </w:pPr>
    </w:lvl>
    <w:lvl w:ilvl="6">
      <w:start w:val="1"/>
      <w:numFmt w:val="decimal"/>
      <w:lvlText w:val="%1.%2.%3.%4.%5.%6.%7."/>
      <w:lvlJc w:val="left"/>
      <w:pPr>
        <w:tabs>
          <w:tab w:val="left" w:pos="1800"/>
        </w:tabs>
        <w:ind w:left="1680" w:hanging="240"/>
      </w:pPr>
    </w:lvl>
    <w:lvl w:ilvl="7">
      <w:start w:val="1"/>
      <w:numFmt w:val="decimal"/>
      <w:lvlText w:val="%1.%2.%3.%4.%5.%6.%7.%8."/>
      <w:lvlJc w:val="left"/>
      <w:pPr>
        <w:tabs>
          <w:tab w:val="left" w:pos="2040"/>
        </w:tabs>
        <w:ind w:left="1920" w:hanging="240"/>
      </w:pPr>
    </w:lvl>
    <w:lvl w:ilvl="8">
      <w:start w:val="1"/>
      <w:numFmt w:val="decimal"/>
      <w:lvlText w:val="%1.%2.%3.%4.%5.%6.%7.%8.%9."/>
      <w:lvlJc w:val="left"/>
      <w:pPr>
        <w:tabs>
          <w:tab w:val="left" w:pos="2280"/>
        </w:tabs>
        <w:ind w:left="2160" w:hanging="240"/>
      </w:pPr>
    </w:lvl>
  </w:abstractNum>
  <w:abstractNum w:abstractNumId="5" w15:restartNumberingAfterBreak="0">
    <w:nsid w:val="00000005"/>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00000006"/>
    <w:multiLevelType w:val="hybridMultilevel"/>
    <w:tmpl w:val="8CBA4304"/>
    <w:lvl w:ilvl="0" w:tplc="6B54021C">
      <w:start w:val="1"/>
      <w:numFmt w:val="bullet"/>
      <w:lvlText w:val="-"/>
      <w:lvlJc w:val="left"/>
      <w:pPr>
        <w:tabs>
          <w:tab w:val="left" w:pos="720"/>
        </w:tabs>
        <w:ind w:left="720" w:hanging="360"/>
      </w:pPr>
      <w:rPr>
        <w:rFonts w:ascii="Times New Roman" w:hAnsi="Times New Roman" w:hint="default"/>
      </w:rPr>
    </w:lvl>
    <w:lvl w:ilvl="1" w:tplc="6D7A7B4C" w:tentative="1">
      <w:start w:val="1"/>
      <w:numFmt w:val="bullet"/>
      <w:lvlText w:val="-"/>
      <w:lvlJc w:val="left"/>
      <w:pPr>
        <w:tabs>
          <w:tab w:val="left" w:pos="1440"/>
        </w:tabs>
        <w:ind w:left="1440" w:hanging="360"/>
      </w:pPr>
      <w:rPr>
        <w:rFonts w:ascii="Times New Roman" w:hAnsi="Times New Roman" w:hint="default"/>
      </w:rPr>
    </w:lvl>
    <w:lvl w:ilvl="2" w:tplc="90721206" w:tentative="1">
      <w:start w:val="1"/>
      <w:numFmt w:val="bullet"/>
      <w:lvlText w:val="-"/>
      <w:lvlJc w:val="left"/>
      <w:pPr>
        <w:tabs>
          <w:tab w:val="left" w:pos="2160"/>
        </w:tabs>
        <w:ind w:left="2160" w:hanging="360"/>
      </w:pPr>
      <w:rPr>
        <w:rFonts w:ascii="Times New Roman" w:hAnsi="Times New Roman" w:hint="default"/>
      </w:rPr>
    </w:lvl>
    <w:lvl w:ilvl="3" w:tplc="CB54D126" w:tentative="1">
      <w:start w:val="1"/>
      <w:numFmt w:val="bullet"/>
      <w:lvlText w:val="-"/>
      <w:lvlJc w:val="left"/>
      <w:pPr>
        <w:tabs>
          <w:tab w:val="left" w:pos="2880"/>
        </w:tabs>
        <w:ind w:left="2880" w:hanging="360"/>
      </w:pPr>
      <w:rPr>
        <w:rFonts w:ascii="Times New Roman" w:hAnsi="Times New Roman" w:hint="default"/>
      </w:rPr>
    </w:lvl>
    <w:lvl w:ilvl="4" w:tplc="5B74DF12" w:tentative="1">
      <w:start w:val="1"/>
      <w:numFmt w:val="bullet"/>
      <w:lvlText w:val="-"/>
      <w:lvlJc w:val="left"/>
      <w:pPr>
        <w:tabs>
          <w:tab w:val="left" w:pos="3600"/>
        </w:tabs>
        <w:ind w:left="3600" w:hanging="360"/>
      </w:pPr>
      <w:rPr>
        <w:rFonts w:ascii="Times New Roman" w:hAnsi="Times New Roman" w:hint="default"/>
      </w:rPr>
    </w:lvl>
    <w:lvl w:ilvl="5" w:tplc="5652E448" w:tentative="1">
      <w:start w:val="1"/>
      <w:numFmt w:val="bullet"/>
      <w:lvlText w:val="-"/>
      <w:lvlJc w:val="left"/>
      <w:pPr>
        <w:tabs>
          <w:tab w:val="left" w:pos="4320"/>
        </w:tabs>
        <w:ind w:left="4320" w:hanging="360"/>
      </w:pPr>
      <w:rPr>
        <w:rFonts w:ascii="Times New Roman" w:hAnsi="Times New Roman" w:hint="default"/>
      </w:rPr>
    </w:lvl>
    <w:lvl w:ilvl="6" w:tplc="2D1AC6E0" w:tentative="1">
      <w:start w:val="1"/>
      <w:numFmt w:val="bullet"/>
      <w:lvlText w:val="-"/>
      <w:lvlJc w:val="left"/>
      <w:pPr>
        <w:tabs>
          <w:tab w:val="left" w:pos="5040"/>
        </w:tabs>
        <w:ind w:left="5040" w:hanging="360"/>
      </w:pPr>
      <w:rPr>
        <w:rFonts w:ascii="Times New Roman" w:hAnsi="Times New Roman" w:hint="default"/>
      </w:rPr>
    </w:lvl>
    <w:lvl w:ilvl="7" w:tplc="1E667590" w:tentative="1">
      <w:start w:val="1"/>
      <w:numFmt w:val="bullet"/>
      <w:lvlText w:val="-"/>
      <w:lvlJc w:val="left"/>
      <w:pPr>
        <w:tabs>
          <w:tab w:val="left" w:pos="5760"/>
        </w:tabs>
        <w:ind w:left="5760" w:hanging="360"/>
      </w:pPr>
      <w:rPr>
        <w:rFonts w:ascii="Times New Roman" w:hAnsi="Times New Roman" w:hint="default"/>
      </w:rPr>
    </w:lvl>
    <w:lvl w:ilvl="8" w:tplc="AB6E266C" w:tentative="1">
      <w:start w:val="1"/>
      <w:numFmt w:val="bullet"/>
      <w:lvlText w:val="-"/>
      <w:lvlJc w:val="left"/>
      <w:pPr>
        <w:tabs>
          <w:tab w:val="left" w:pos="6480"/>
        </w:tabs>
        <w:ind w:left="6480" w:hanging="360"/>
      </w:pPr>
      <w:rPr>
        <w:rFonts w:ascii="Times New Roman" w:hAnsi="Times New Roman" w:hint="default"/>
      </w:rPr>
    </w:lvl>
  </w:abstractNum>
  <w:abstractNum w:abstractNumId="7" w15:restartNumberingAfterBreak="0">
    <w:nsid w:val="00000007"/>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8" w15:restartNumberingAfterBreak="0">
    <w:nsid w:val="00000008"/>
    <w:multiLevelType w:val="multilevel"/>
    <w:tmpl w:val="0809001D"/>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9" w15:restartNumberingAfterBreak="0">
    <w:nsid w:val="00000009"/>
    <w:multiLevelType w:val="multilevel"/>
    <w:tmpl w:val="D480ADB0"/>
    <w:lvl w:ilvl="0">
      <w:start w:val="1"/>
      <w:numFmt w:val="bulle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hint="default"/>
      </w:rPr>
    </w:lvl>
    <w:lvl w:ilvl="4">
      <w:start w:val="1"/>
      <w:numFmt w:val="none"/>
      <w:lvlText w:val=""/>
      <w:lvlJc w:val="left"/>
      <w:pPr>
        <w:tabs>
          <w:tab w:val="left" w:pos="1320"/>
        </w:tabs>
        <w:ind w:left="1200" w:hanging="240"/>
      </w:pPr>
      <w:rPr>
        <w:rFonts w:hint="default"/>
      </w:rPr>
    </w:lvl>
    <w:lvl w:ilvl="5">
      <w:start w:val="1"/>
      <w:numFmt w:val="none"/>
      <w:lvlText w:val=""/>
      <w:lvlJc w:val="left"/>
      <w:pPr>
        <w:tabs>
          <w:tab w:val="left" w:pos="1560"/>
        </w:tabs>
        <w:ind w:left="1440" w:hanging="240"/>
      </w:pPr>
      <w:rPr>
        <w:rFonts w:hint="default"/>
      </w:rPr>
    </w:lvl>
    <w:lvl w:ilvl="6">
      <w:start w:val="1"/>
      <w:numFmt w:val="none"/>
      <w:lvlText w:val=""/>
      <w:lvlJc w:val="left"/>
      <w:pPr>
        <w:tabs>
          <w:tab w:val="left" w:pos="1800"/>
        </w:tabs>
        <w:ind w:left="1680" w:hanging="240"/>
      </w:pPr>
      <w:rPr>
        <w:rFonts w:hint="default"/>
      </w:rPr>
    </w:lvl>
    <w:lvl w:ilvl="7">
      <w:start w:val="1"/>
      <w:numFmt w:val="none"/>
      <w:lvlText w:val=""/>
      <w:lvlJc w:val="left"/>
      <w:pPr>
        <w:tabs>
          <w:tab w:val="left" w:pos="2040"/>
        </w:tabs>
        <w:ind w:left="1920" w:hanging="240"/>
      </w:pPr>
      <w:rPr>
        <w:rFonts w:hint="default"/>
      </w:rPr>
    </w:lvl>
    <w:lvl w:ilvl="8">
      <w:start w:val="1"/>
      <w:numFmt w:val="none"/>
      <w:lvlText w:val=""/>
      <w:lvlJc w:val="left"/>
      <w:pPr>
        <w:tabs>
          <w:tab w:val="left" w:pos="2280"/>
        </w:tabs>
        <w:ind w:left="2160" w:hanging="240"/>
      </w:pPr>
      <w:rPr>
        <w:rFonts w:hint="default"/>
      </w:rPr>
    </w:lvl>
  </w:abstractNum>
  <w:abstractNum w:abstractNumId="10" w15:restartNumberingAfterBreak="0">
    <w:nsid w:val="0000000A"/>
    <w:multiLevelType w:val="singleLevel"/>
    <w:tmpl w:val="08090001"/>
    <w:lvl w:ilvl="0">
      <w:start w:val="1"/>
      <w:numFmt w:val="bullet"/>
      <w:lvlText w:val=""/>
      <w:lvlJc w:val="left"/>
      <w:pPr>
        <w:tabs>
          <w:tab w:val="left" w:pos="360"/>
        </w:tabs>
        <w:ind w:left="360" w:hanging="360"/>
      </w:pPr>
      <w:rPr>
        <w:rFonts w:ascii="Symbol" w:hAnsi="Symbol" w:hint="default"/>
      </w:rPr>
    </w:lvl>
  </w:abstractNum>
  <w:num w:numId="1">
    <w:abstractNumId w:val="1"/>
  </w:num>
  <w:num w:numId="2">
    <w:abstractNumId w:val="5"/>
  </w:num>
  <w:num w:numId="3">
    <w:abstractNumId w:val="5"/>
  </w:num>
  <w:num w:numId="4">
    <w:abstractNumId w:val="5"/>
  </w:num>
  <w:num w:numId="5">
    <w:abstractNumId w:val="5"/>
  </w:num>
  <w:num w:numId="6">
    <w:abstractNumId w:val="3"/>
  </w:num>
  <w:num w:numId="7">
    <w:abstractNumId w:val="7"/>
  </w:num>
  <w:num w:numId="8">
    <w:abstractNumId w:val="2"/>
  </w:num>
  <w:num w:numId="9">
    <w:abstractNumId w:val="4"/>
  </w:num>
  <w:num w:numId="10">
    <w:abstractNumId w:val="5"/>
  </w:num>
  <w:num w:numId="11">
    <w:abstractNumId w:val="5"/>
  </w:num>
  <w:num w:numId="12">
    <w:abstractNumId w:val="5"/>
  </w:num>
  <w:num w:numId="13">
    <w:abstractNumId w:val="5"/>
  </w:num>
  <w:num w:numId="14">
    <w:abstractNumId w:val="0"/>
  </w:num>
  <w:num w:numId="15">
    <w:abstractNumId w:val="3"/>
  </w:num>
  <w:num w:numId="16">
    <w:abstractNumId w:val="7"/>
  </w:num>
  <w:num w:numId="17">
    <w:abstractNumId w:val="2"/>
  </w:num>
  <w:num w:numId="18">
    <w:abstractNumId w:val="4"/>
  </w:num>
  <w:num w:numId="19">
    <w:abstractNumId w:val="10"/>
  </w:num>
  <w:num w:numId="20">
    <w:abstractNumId w:val="9"/>
  </w:num>
  <w:num w:numId="21">
    <w:abstractNumId w:val="5"/>
  </w:num>
  <w:num w:numId="22">
    <w:abstractNumId w:val="5"/>
  </w:num>
  <w:num w:numId="23">
    <w:abstractNumId w:val="5"/>
  </w:num>
  <w:num w:numId="24">
    <w:abstractNumId w:val="5"/>
  </w:num>
  <w:num w:numId="25">
    <w:abstractNumId w:val="0"/>
  </w:num>
  <w:num w:numId="26">
    <w:abstractNumId w:val="0"/>
  </w:num>
  <w:num w:numId="27">
    <w:abstractNumId w:val="8"/>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6AA"/>
    <w:rsid w:val="000D0827"/>
    <w:rsid w:val="00BE6E1A"/>
    <w:rsid w:val="00DC1513"/>
    <w:rsid w:val="00DE76A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FBF5D6"/>
  <w15:docId w15:val="{69DDF72B-2CAC-463C-AEBE-82C92E52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paragraph" w:styleId="Ttulo1">
    <w:name w:val="heading 1"/>
    <w:basedOn w:val="Normal"/>
    <w:next w:val="BodyText"/>
    <w:link w:val="Ttulo1Car"/>
    <w:uiPriority w:val="9"/>
    <w:qFormat/>
    <w:pPr>
      <w:keepNext/>
      <w:keepLines/>
      <w:numPr>
        <w:numId w:val="1"/>
      </w:numPr>
      <w:spacing w:before="720" w:after="240" w:line="480" w:lineRule="auto"/>
      <w:ind w:left="431" w:hanging="431"/>
      <w:jc w:val="both"/>
      <w:outlineLvl w:val="0"/>
    </w:pPr>
    <w:rPr>
      <w:rFonts w:eastAsia="SimSun" w:cs="SimSun"/>
      <w:b/>
      <w:bCs/>
      <w:sz w:val="24"/>
      <w:szCs w:val="28"/>
      <w:lang w:val="es-PE"/>
    </w:rPr>
  </w:style>
  <w:style w:type="paragraph" w:styleId="Ttulo2">
    <w:name w:val="heading 2"/>
    <w:basedOn w:val="Normal"/>
    <w:next w:val="BodyText"/>
    <w:link w:val="Ttulo2Car"/>
    <w:uiPriority w:val="9"/>
    <w:unhideWhenUsed/>
    <w:qFormat/>
    <w:pPr>
      <w:keepNext/>
      <w:keepLines/>
      <w:numPr>
        <w:ilvl w:val="1"/>
        <w:numId w:val="1"/>
      </w:numPr>
      <w:spacing w:before="200" w:line="480" w:lineRule="auto"/>
      <w:outlineLvl w:val="1"/>
    </w:pPr>
    <w:rPr>
      <w:rFonts w:eastAsia="SimSun" w:cs="SimSun"/>
      <w:b/>
      <w:bCs/>
      <w:i/>
      <w:sz w:val="24"/>
      <w:szCs w:val="26"/>
      <w:lang w:val="es-PE"/>
    </w:rPr>
  </w:style>
  <w:style w:type="paragraph" w:styleId="Ttulo3">
    <w:name w:val="heading 3"/>
    <w:basedOn w:val="Normal"/>
    <w:next w:val="Normal"/>
    <w:link w:val="Ttulo3Car"/>
    <w:uiPriority w:val="9"/>
    <w:semiHidden/>
    <w:unhideWhenUsed/>
    <w:qFormat/>
    <w:pPr>
      <w:keepNext/>
      <w:keepLines/>
      <w:numPr>
        <w:ilvl w:val="2"/>
        <w:numId w:val="1"/>
      </w:numPr>
      <w:spacing w:before="240" w:after="240" w:line="480" w:lineRule="auto"/>
      <w:outlineLvl w:val="2"/>
    </w:pPr>
    <w:rPr>
      <w:rFonts w:eastAsia="SimSun" w:cs="SimSun"/>
      <w:bCs/>
      <w:i/>
      <w:sz w:val="24"/>
      <w:szCs w:val="22"/>
      <w:lang w:val="es-PE"/>
    </w:rPr>
  </w:style>
  <w:style w:type="paragraph" w:styleId="Ttulo4">
    <w:name w:val="heading 4"/>
    <w:basedOn w:val="Normal"/>
    <w:next w:val="Normal"/>
    <w:link w:val="Ttulo4Car"/>
    <w:uiPriority w:val="9"/>
    <w:semiHidden/>
    <w:unhideWhenUsed/>
    <w:qFormat/>
    <w:pPr>
      <w:keepNext/>
      <w:keepLines/>
      <w:numPr>
        <w:ilvl w:val="3"/>
        <w:numId w:val="1"/>
      </w:numPr>
      <w:spacing w:before="200" w:line="480" w:lineRule="auto"/>
      <w:outlineLvl w:val="3"/>
    </w:pPr>
    <w:rPr>
      <w:rFonts w:ascii="Cambria" w:eastAsia="SimSun" w:hAnsi="Cambria" w:cs="SimSun"/>
      <w:b/>
      <w:bCs/>
      <w:i/>
      <w:iCs/>
      <w:color w:val="4F81BD"/>
      <w:sz w:val="24"/>
      <w:szCs w:val="22"/>
      <w:lang w:val="es-PE"/>
    </w:rPr>
  </w:style>
  <w:style w:type="paragraph" w:styleId="Ttulo5">
    <w:name w:val="heading 5"/>
    <w:basedOn w:val="Normal"/>
    <w:next w:val="Normal"/>
    <w:link w:val="Ttulo5Car"/>
    <w:uiPriority w:val="9"/>
    <w:semiHidden/>
    <w:unhideWhenUsed/>
    <w:qFormat/>
    <w:pPr>
      <w:keepNext/>
      <w:keepLines/>
      <w:numPr>
        <w:ilvl w:val="4"/>
        <w:numId w:val="1"/>
      </w:numPr>
      <w:spacing w:before="200" w:line="480" w:lineRule="auto"/>
      <w:outlineLvl w:val="4"/>
    </w:pPr>
    <w:rPr>
      <w:rFonts w:ascii="Cambria" w:eastAsia="SimSun" w:hAnsi="Cambria" w:cs="SimSun"/>
      <w:color w:val="243F60"/>
      <w:sz w:val="24"/>
      <w:szCs w:val="22"/>
      <w:lang w:val="es-PE"/>
    </w:rPr>
  </w:style>
  <w:style w:type="paragraph" w:styleId="Ttulo6">
    <w:name w:val="heading 6"/>
    <w:basedOn w:val="Normal"/>
    <w:next w:val="Normal"/>
    <w:link w:val="Ttulo6Car"/>
    <w:uiPriority w:val="9"/>
    <w:semiHidden/>
    <w:unhideWhenUsed/>
    <w:qFormat/>
    <w:pPr>
      <w:keepNext/>
      <w:keepLines/>
      <w:numPr>
        <w:ilvl w:val="5"/>
        <w:numId w:val="1"/>
      </w:numPr>
      <w:spacing w:before="200" w:line="480" w:lineRule="auto"/>
      <w:outlineLvl w:val="5"/>
    </w:pPr>
    <w:rPr>
      <w:rFonts w:ascii="Cambria" w:eastAsia="SimSun" w:hAnsi="Cambria" w:cs="SimSun"/>
      <w:i/>
      <w:iCs/>
      <w:color w:val="243F60"/>
      <w:sz w:val="24"/>
      <w:szCs w:val="22"/>
      <w:lang w:val="es-PE"/>
    </w:rPr>
  </w:style>
  <w:style w:type="paragraph" w:styleId="Ttulo7">
    <w:name w:val="heading 7"/>
    <w:basedOn w:val="Normal"/>
    <w:next w:val="Normal"/>
    <w:link w:val="Ttulo7Car"/>
    <w:uiPriority w:val="9"/>
    <w:qFormat/>
    <w:pPr>
      <w:keepNext/>
      <w:keepLines/>
      <w:numPr>
        <w:ilvl w:val="6"/>
        <w:numId w:val="1"/>
      </w:numPr>
      <w:spacing w:before="200" w:line="480" w:lineRule="auto"/>
      <w:outlineLvl w:val="6"/>
    </w:pPr>
    <w:rPr>
      <w:rFonts w:ascii="Cambria" w:eastAsia="SimSun" w:hAnsi="Cambria" w:cs="SimSun"/>
      <w:i/>
      <w:iCs/>
      <w:color w:val="404040"/>
      <w:sz w:val="24"/>
      <w:szCs w:val="22"/>
      <w:lang w:val="es-PE"/>
    </w:rPr>
  </w:style>
  <w:style w:type="paragraph" w:styleId="Ttulo8">
    <w:name w:val="heading 8"/>
    <w:basedOn w:val="Normal"/>
    <w:next w:val="Normal"/>
    <w:link w:val="Ttulo8Car"/>
    <w:uiPriority w:val="9"/>
    <w:qFormat/>
    <w:pPr>
      <w:keepNext/>
      <w:keepLines/>
      <w:numPr>
        <w:ilvl w:val="7"/>
        <w:numId w:val="1"/>
      </w:numPr>
      <w:spacing w:before="200" w:line="480" w:lineRule="auto"/>
      <w:outlineLvl w:val="7"/>
    </w:pPr>
    <w:rPr>
      <w:rFonts w:ascii="Cambria" w:eastAsia="SimSun" w:hAnsi="Cambria" w:cs="SimSun"/>
      <w:color w:val="404040"/>
      <w:lang w:val="es-PE"/>
    </w:rPr>
  </w:style>
  <w:style w:type="paragraph" w:styleId="Ttulo9">
    <w:name w:val="heading 9"/>
    <w:basedOn w:val="Normal"/>
    <w:next w:val="Normal"/>
    <w:link w:val="Ttulo9Car"/>
    <w:uiPriority w:val="9"/>
    <w:qFormat/>
    <w:pPr>
      <w:keepNext/>
      <w:keepLines/>
      <w:numPr>
        <w:ilvl w:val="8"/>
        <w:numId w:val="1"/>
      </w:numPr>
      <w:spacing w:before="200" w:line="480" w:lineRule="auto"/>
      <w:outlineLvl w:val="8"/>
    </w:pPr>
    <w:rPr>
      <w:rFonts w:ascii="Cambria" w:eastAsia="SimSun" w:hAnsi="Cambria" w:cs="SimSun"/>
      <w:i/>
      <w:iCs/>
      <w:color w:val="404040"/>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pPr>
      <w:keepLines/>
      <w:spacing w:before="200" w:after="240" w:line="200" w:lineRule="exact"/>
    </w:pPr>
    <w:rPr>
      <w:sz w:val="16"/>
    </w:rPr>
  </w:style>
  <w:style w:type="paragraph" w:customStyle="1" w:styleId="Els-1storder-head">
    <w:name w:val="Els-1storder-head"/>
    <w:next w:val="Els-body-text"/>
    <w:link w:val="Els-1storder-headChar"/>
    <w:pPr>
      <w:keepNext/>
      <w:numPr>
        <w:numId w:val="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6"/>
      </w:numPr>
      <w:spacing w:before="480" w:after="240" w:line="220" w:lineRule="exact"/>
    </w:pPr>
    <w:rPr>
      <w:b/>
      <w:lang w:val="en-US" w:eastAsia="en-US"/>
    </w:rPr>
  </w:style>
  <w:style w:type="paragraph" w:customStyle="1" w:styleId="Els-appendixsubhead">
    <w:name w:val="Els-appendixsubhead"/>
    <w:next w:val="Normal"/>
    <w:pPr>
      <w:numPr>
        <w:ilvl w:val="1"/>
        <w:numId w:val="7"/>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keepNext/>
      <w:spacing w:line="240" w:lineRule="exact"/>
      <w:ind w:firstLine="238"/>
      <w:jc w:val="both"/>
    </w:pPr>
    <w:rPr>
      <w:lang w:val="en-US" w:eastAsia="en-US"/>
    </w:rPr>
  </w:style>
  <w:style w:type="paragraph" w:customStyle="1" w:styleId="Els-bulletlist">
    <w:name w:val="Els-bulletlist"/>
    <w:basedOn w:val="Els-body-text"/>
    <w:pPr>
      <w:numPr>
        <w:numId w:val="8"/>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9"/>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pPr>
      <w:suppressAutoHyphens/>
      <w:spacing w:after="240" w:line="400" w:lineRule="exact"/>
      <w:jc w:val="center"/>
    </w:pPr>
    <w:rPr>
      <w:sz w:val="34"/>
      <w:lang w:val="en-US" w:eastAsia="en-US"/>
    </w:rPr>
  </w:style>
  <w:style w:type="character" w:styleId="Refdenotaalfinal">
    <w:name w:val="endnote reference"/>
    <w:basedOn w:val="Fuentedeprrafopredeter"/>
    <w:rPr>
      <w:vertAlign w:val="superscript"/>
    </w:rPr>
  </w:style>
  <w:style w:type="paragraph" w:styleId="Encabezado">
    <w:name w:val="header"/>
    <w:pPr>
      <w:tabs>
        <w:tab w:val="center" w:pos="4706"/>
        <w:tab w:val="right" w:pos="9356"/>
      </w:tabs>
      <w:spacing w:after="240" w:line="200" w:lineRule="atLeast"/>
    </w:pPr>
    <w:rPr>
      <w:i/>
      <w:noProof/>
      <w:sz w:val="16"/>
      <w:lang w:val="en-US" w:eastAsia="en-US"/>
    </w:rPr>
  </w:style>
  <w:style w:type="paragraph" w:styleId="Piedepgina">
    <w:name w:val="footer"/>
    <w:basedOn w:val="Encabezado"/>
    <w:pPr>
      <w:tabs>
        <w:tab w:val="right" w:pos="10080"/>
      </w:tabs>
    </w:pPr>
    <w:rPr>
      <w:i w:val="0"/>
    </w:rPr>
  </w:style>
  <w:style w:type="character" w:styleId="Refdenotaalpie">
    <w:name w:val="footnote reference"/>
    <w:rPr>
      <w:vertAlign w:val="superscript"/>
    </w:rPr>
  </w:style>
  <w:style w:type="paragraph" w:styleId="Textonotapie">
    <w:name w:val="footnote text"/>
    <w:basedOn w:val="Normal"/>
    <w:rPr>
      <w:rFonts w:ascii="Univers" w:hAnsi="Univers"/>
    </w:rPr>
  </w:style>
  <w:style w:type="character" w:styleId="Hipervnculo">
    <w:name w:val="Hyperlink"/>
    <w:basedOn w:val="Fuentedeprrafopredeter"/>
    <w:rPr>
      <w:color w:val="auto"/>
      <w:sz w:val="16"/>
      <w:u w:val="none"/>
    </w:rPr>
  </w:style>
  <w:style w:type="character" w:customStyle="1" w:styleId="MTEquationSection">
    <w:name w:val="MTEquationSection"/>
    <w:basedOn w:val="Fuentedeprrafopredeter"/>
    <w:rPr>
      <w:vanish/>
      <w:color w:val="FF0000"/>
    </w:rPr>
  </w:style>
  <w:style w:type="character" w:styleId="Nmerodepgina">
    <w:name w:val="page number"/>
    <w:basedOn w:val="Fuentedeprrafopredeter"/>
    <w:rPr>
      <w:sz w:val="16"/>
    </w:rPr>
  </w:style>
  <w:style w:type="paragraph" w:styleId="Textosinformato">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lang w:val="en-US" w:eastAsia="en-US"/>
    </w:rPr>
  </w:style>
  <w:style w:type="character" w:styleId="Hipervnculovisitado">
    <w:name w:val="FollowedHyperlink"/>
    <w:basedOn w:val="Fuentedeprrafopredeter"/>
    <w:rPr>
      <w:color w:val="800080"/>
      <w:u w:val="single"/>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basedOn w:val="Fuentedeprrafopredeter"/>
    <w:link w:val="Textodeglobo"/>
    <w:rPr>
      <w:rFonts w:ascii="Tahoma" w:hAnsi="Tahoma" w:cs="Tahoma"/>
      <w:sz w:val="16"/>
      <w:szCs w:val="16"/>
      <w:lang w:val="en-GB" w:eastAsia="en-US"/>
    </w:rPr>
  </w:style>
  <w:style w:type="character" w:customStyle="1" w:styleId="Els-1storder-headChar">
    <w:name w:val="Els-1storder-head Char"/>
    <w:basedOn w:val="Fuentedeprrafopredeter"/>
    <w:link w:val="Els-1storder-head"/>
    <w:rPr>
      <w:b/>
      <w:lang w:val="en-US" w:eastAsia="en-US" w:bidi="ar-SA"/>
    </w:rPr>
  </w:style>
  <w:style w:type="character" w:customStyle="1" w:styleId="hps">
    <w:name w:val="hps"/>
    <w:basedOn w:val="Fuentedeprrafopredeter"/>
  </w:style>
  <w:style w:type="character" w:customStyle="1" w:styleId="apple-converted-space">
    <w:name w:val="apple-converted-space"/>
    <w:basedOn w:val="Fuentedeprrafopredeter"/>
  </w:style>
  <w:style w:type="paragraph" w:styleId="Textoindependiente">
    <w:name w:val="Body Text"/>
    <w:basedOn w:val="Normal"/>
    <w:link w:val="TextoindependienteCar"/>
    <w:rPr>
      <w:rFonts w:ascii="Arial" w:hAnsi="Arial"/>
      <w:sz w:val="24"/>
      <w:lang w:val="es-MX" w:eastAsia="es-ES"/>
    </w:rPr>
  </w:style>
  <w:style w:type="character" w:customStyle="1" w:styleId="TextoindependienteCar">
    <w:name w:val="Texto independiente Car"/>
    <w:basedOn w:val="Fuentedeprrafopredeter"/>
    <w:link w:val="Textoindependiente"/>
    <w:rPr>
      <w:rFonts w:ascii="Arial" w:hAnsi="Arial"/>
      <w:sz w:val="24"/>
      <w:lang w:val="es-MX" w:eastAsia="es-ES"/>
    </w:rPr>
  </w:style>
  <w:style w:type="character" w:customStyle="1" w:styleId="Ttulo1Car">
    <w:name w:val="Título 1 Car"/>
    <w:basedOn w:val="Fuentedeprrafopredeter"/>
    <w:link w:val="Ttulo1"/>
    <w:uiPriority w:val="9"/>
    <w:rPr>
      <w:rFonts w:eastAsia="SimSun" w:cs="SimSun"/>
      <w:b/>
      <w:bCs/>
      <w:sz w:val="24"/>
      <w:szCs w:val="28"/>
      <w:lang w:val="es-PE" w:eastAsia="en-US"/>
    </w:rPr>
  </w:style>
  <w:style w:type="character" w:customStyle="1" w:styleId="Ttulo2Car">
    <w:name w:val="Título 2 Car"/>
    <w:basedOn w:val="Fuentedeprrafopredeter"/>
    <w:link w:val="Ttulo2"/>
    <w:uiPriority w:val="9"/>
    <w:rPr>
      <w:rFonts w:eastAsia="SimSun" w:cs="SimSun"/>
      <w:b/>
      <w:bCs/>
      <w:i/>
      <w:sz w:val="24"/>
      <w:szCs w:val="26"/>
      <w:lang w:val="es-PE" w:eastAsia="en-US"/>
    </w:rPr>
  </w:style>
  <w:style w:type="character" w:customStyle="1" w:styleId="Ttulo3Car">
    <w:name w:val="Título 3 Car"/>
    <w:basedOn w:val="Fuentedeprrafopredeter"/>
    <w:link w:val="Ttulo3"/>
    <w:uiPriority w:val="9"/>
    <w:rPr>
      <w:rFonts w:eastAsia="SimSun" w:cs="SimSun"/>
      <w:bCs/>
      <w:i/>
      <w:sz w:val="24"/>
      <w:szCs w:val="22"/>
      <w:lang w:val="es-PE" w:eastAsia="en-US"/>
    </w:rPr>
  </w:style>
  <w:style w:type="character" w:customStyle="1" w:styleId="Ttulo4Car">
    <w:name w:val="Título 4 Car"/>
    <w:basedOn w:val="Fuentedeprrafopredeter"/>
    <w:link w:val="Ttulo4"/>
    <w:uiPriority w:val="9"/>
    <w:rPr>
      <w:rFonts w:ascii="Cambria" w:eastAsia="SimSun" w:hAnsi="Cambria" w:cs="SimSun"/>
      <w:b/>
      <w:bCs/>
      <w:i/>
      <w:iCs/>
      <w:color w:val="4F81BD"/>
      <w:sz w:val="24"/>
      <w:szCs w:val="22"/>
      <w:lang w:val="es-PE" w:eastAsia="en-US"/>
    </w:rPr>
  </w:style>
  <w:style w:type="character" w:customStyle="1" w:styleId="Ttulo5Car">
    <w:name w:val="Título 5 Car"/>
    <w:basedOn w:val="Fuentedeprrafopredeter"/>
    <w:link w:val="Ttulo5"/>
    <w:uiPriority w:val="9"/>
    <w:rPr>
      <w:rFonts w:ascii="Cambria" w:eastAsia="SimSun" w:hAnsi="Cambria" w:cs="SimSun"/>
      <w:color w:val="243F60"/>
      <w:sz w:val="24"/>
      <w:szCs w:val="22"/>
      <w:lang w:val="es-PE" w:eastAsia="en-US"/>
    </w:rPr>
  </w:style>
  <w:style w:type="character" w:customStyle="1" w:styleId="Ttulo6Car">
    <w:name w:val="Título 6 Car"/>
    <w:basedOn w:val="Fuentedeprrafopredeter"/>
    <w:link w:val="Ttulo6"/>
    <w:uiPriority w:val="9"/>
    <w:rPr>
      <w:rFonts w:ascii="Cambria" w:eastAsia="SimSun" w:hAnsi="Cambria" w:cs="SimSun"/>
      <w:i/>
      <w:iCs/>
      <w:color w:val="243F60"/>
      <w:sz w:val="24"/>
      <w:szCs w:val="22"/>
      <w:lang w:val="es-PE" w:eastAsia="en-US"/>
    </w:rPr>
  </w:style>
  <w:style w:type="character" w:customStyle="1" w:styleId="Ttulo7Car">
    <w:name w:val="Título 7 Car"/>
    <w:basedOn w:val="Fuentedeprrafopredeter"/>
    <w:link w:val="Ttulo7"/>
    <w:uiPriority w:val="9"/>
    <w:rPr>
      <w:rFonts w:ascii="Cambria" w:eastAsia="SimSun" w:hAnsi="Cambria" w:cs="SimSun"/>
      <w:i/>
      <w:iCs/>
      <w:color w:val="404040"/>
      <w:sz w:val="24"/>
      <w:szCs w:val="22"/>
      <w:lang w:val="es-PE" w:eastAsia="en-US"/>
    </w:rPr>
  </w:style>
  <w:style w:type="character" w:customStyle="1" w:styleId="Ttulo8Car">
    <w:name w:val="Título 8 Car"/>
    <w:basedOn w:val="Fuentedeprrafopredeter"/>
    <w:link w:val="Ttulo8"/>
    <w:uiPriority w:val="9"/>
    <w:rPr>
      <w:rFonts w:ascii="Cambria" w:eastAsia="SimSun" w:hAnsi="Cambria" w:cs="SimSun"/>
      <w:color w:val="404040"/>
      <w:lang w:val="es-PE" w:eastAsia="en-US"/>
    </w:rPr>
  </w:style>
  <w:style w:type="character" w:customStyle="1" w:styleId="Ttulo9Car">
    <w:name w:val="Título 9 Car"/>
    <w:basedOn w:val="Fuentedeprrafopredeter"/>
    <w:link w:val="Ttulo9"/>
    <w:uiPriority w:val="9"/>
    <w:rPr>
      <w:rFonts w:ascii="Cambria" w:eastAsia="SimSun" w:hAnsi="Cambria" w:cs="SimSun"/>
      <w:i/>
      <w:iCs/>
      <w:color w:val="404040"/>
      <w:lang w:val="es-PE" w:eastAsia="en-US"/>
    </w:rPr>
  </w:style>
  <w:style w:type="paragraph" w:customStyle="1" w:styleId="BodyText">
    <w:name w:val="Body_Text"/>
    <w:basedOn w:val="Normal"/>
    <w:qFormat/>
    <w:pPr>
      <w:spacing w:before="120" w:after="120"/>
      <w:ind w:firstLine="284"/>
    </w:pPr>
    <w:rPr>
      <w:rFonts w:eastAsia="Calibri" w:cs="SimSun"/>
      <w:sz w:val="24"/>
      <w:szCs w:val="22"/>
      <w:lang w:val="en-US"/>
    </w:rPr>
  </w:style>
  <w:style w:type="character" w:customStyle="1" w:styleId="Mencinsinresolver1">
    <w:name w:val="Mención sin resolver1"/>
    <w:basedOn w:val="Fuentedeprrafopredeter"/>
    <w:uiPriority w:val="99"/>
    <w:rPr>
      <w:color w:val="605E5C"/>
      <w:shd w:val="clear" w:color="auto" w:fill="E1DFDD"/>
    </w:rPr>
  </w:style>
  <w:style w:type="paragraph" w:styleId="Sinespaciado">
    <w:name w:val="No Spacing"/>
    <w:uiPriority w:val="1"/>
    <w:qFormat/>
    <w:rPr>
      <w:lang w:val="en-GB" w:eastAsia="en-US"/>
    </w:rPr>
  </w:style>
  <w:style w:type="character" w:styleId="Mencinsinresolver">
    <w:name w:val="Unresolved Mention"/>
    <w:basedOn w:val="Fuentedeprrafopredeter"/>
    <w:uiPriority w:val="99"/>
    <w:semiHidden/>
    <w:unhideWhenUsed/>
    <w:rsid w:val="00DC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to.ramos@upeu.edu.p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elly.ca&#241;azaca@upeu.edu.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0CC88-8034-4781-AFC8-01CA99A43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2197</Words>
  <Characters>12084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Article</vt:lpstr>
    </vt:vector>
  </TitlesOfParts>
  <Company>Grizli777</Company>
  <LinksUpToDate>false</LinksUpToDate>
  <CharactersWithSpaces>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Harby Dayan Cordova Turpo</cp:lastModifiedBy>
  <cp:revision>2</cp:revision>
  <cp:lastPrinted>2001-12-07T11:33:00Z</cp:lastPrinted>
  <dcterms:created xsi:type="dcterms:W3CDTF">2025-06-13T15:39:00Z</dcterms:created>
  <dcterms:modified xsi:type="dcterms:W3CDTF">2025-06-13T15:39:00Z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bf08eba210c448ff8f99420e79419d41</vt:lpwstr>
  </property>
</Properties>
</file>